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90.1997.31 vom 10. Oktober 1997</w:t>
      </w:r>
    </w:p>
    <w:p>
      <w:r>
        <w:t>TI Tribunale d'appello, 1997-10-10, IT</w:t>
      </w:r>
    </w:p>
    <w:p>
      <w:r>
        <w:rPr>
          <w:b/>
        </w:rPr>
        <w:t xml:space="preserve">Quelle: </w:t>
      </w:r>
      <w:r>
        <w:t>https://mcp.opencaselaw.ch/entscheid/ti_gerichte_90.1997.31</w:t>
      </w:r>
    </w:p>
    <w:p>
      <w:r>
        <w:t>FR: TI_GERICHTE 90.1997.31 du 10 octobre 1997</w:t>
      </w:r>
    </w:p>
    <w:p>
      <w:r>
        <w:t>IT: TI_GERICHTE 90.1997.31 del 10 ottobre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4.1</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w:t>
      </w:r>
    </w:p>
    <w:p>
      <w:r>
        <w:rPr>
          <w:b/>
        </w:rPr>
        <w:t>E. 4.2</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4.3</w:t>
      </w:r>
    </w:p>
    <w:p>
      <w:r>
        <w:t>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5</w:t>
      </w:r>
    </w:p>
    <w:p>
      <w:r>
        <w:t>Nel caso di specie è innanzitutto necessario esaminare la questione generale della contenibilità teorica del PR (art. 15 lett. b LPT). L’idoneità all’edificazione e le altre caratteristiche del comparto territoriale all’esame saranno singolarmente esaminate di seguito. La risoluzione impugnata non fornisce nuovi dati al proposito; per il calcolo della contenibilità ci si deve rifare a quelli contenuti nella risoluzione di approvazione del nuovo PR del 3 luglio 1996 (n. __________). Dal rapporto di pianificazione (tabelle a p. 11 e 12) si evince che la contenibilità teorica del nuovo PR indica quale limite 7.516 unità insediative, di cui 4173 abitanti, 2072 posti-lavoro e 1271 posti-turismo. Ciò equivale ad una riserva di 2124 unità abitative, dal momento che la popolazione residente a fine 1994 era di 2049 abitanti (Annuario statistico ticinese, ed. 1995), corrispondente, nei 10-15 anni di cui all’art. 15 LPT, ad un possibile raddoppio della popolazione rispetto a quella attuale. Medesimo discorso vale per le unità insediative (termine che comprende oltre agli abitanti anche i posti-lavoro e i posti-turismo) : attualmente stimate in 3.675, dispongono di una riserva teorica di ben 3.841 unità. Ora, l’evoluzione demografica negli ultimi anni rende tuttavia altamente improbabile l’esigenza di una così elevata ricettività del PR. Gli abitanti del comune sono infatti passati da 1.646 nel 1980 a 2.017 nel 1990 e a 2.049 a fine 1994 (cfr. Annuario statistico ticinese, ed. 1995). Nello scorso decennio l’aumento risulta pertanto del 22% (1,9% annuo); se si considerano i dati sino al 1994, l’aumento medio negli ultimi 4 anni non raggiunge però che lo 0,4%. Il Rapporto di pianificazione stesso, laddove confronta i dati demografici attuali e futuri con la contenibilità teorica del PR, prevede per i prossimi 10-15 anni uno sviluppo massimo della popolazione residente sino a 2445 abitanti (p. 9) e a 4600 unità insediative. A quel punto rimarrebbe pur sempre un’ampia riserva di 1600 abitanti e 2916 unità insediative prima di raggiungere la piena contenibilità di PR. In tale evenienza, l’aggiunta di ulteriori zone edificabili a quelle già previste dal piano porterebbe a un sovradimensionamento complessivo delle zone edificabili di PR. Ciò non risponde ai precetti degli art. 1 e in particolare 3 LPT (insediamenti strutturati secondo i bisogni della popolazione) e, nel contempo, è contrario al requisito di cui all’art. 15 lett. b LPT (terreni prevedibilmente necessari all’edificazione entro i prossimi 15 anni). Considerato quanto sopra, il Consiglio di Stato ha giustamente escluso il f.n. __________dalla zona edificabile. Ciò corrisponde alla costante prassi, sancita da una consolidata giurisprudenza federale, “ secondo cui sussiste un interesse generale ad impedire, rispettivamente a ridurre la formazione di zone edificabili troppo vaste ” (DTF 21 marzo 1994 in re O. S. c. Consiglio di Stato del Canton Ticino rel. al PR di __________, IP. __________/1993; cfr. pure la giurisprudenza ivi citata, DTF 117 Ia 307 consid. 4b, 438 consid. 3e, 116 Ia 231 in alto, 114 Ia 369).</w:t>
      </w:r>
    </w:p>
    <w:p>
      <w:r>
        <w:rPr>
          <w:b/>
        </w:rPr>
        <w:t>E. 6</w:t>
      </w:r>
    </w:p>
    <w:p>
      <w:r>
        <w:t>A prescindere dalla questione del netto sovradimensionamento della zona edificabile definita dal PR, vi sono però altri fondati motivi che suggeriscono di escludere la part. n. __________ dal comparto edificabile. Il fondo, inedificato, é occupato in parte da bosco, in parte da prato. Il lato ovest é costituito dal litorale, mentre a est é delimitato dalla strada cantonale; al di sopra di questa si estende una vasta area agricola e di rispetto paesaggistico. Sul lato meridionale si estende un o fin sulla riva. Solo a nord il fondo confina direttamente con la piccola zona residenziale-__________ (già zona di mantenimento __________). Non si può quindi affermare che si tratti di un territorio già ampiamente edificato, che necessiti di una completazione del tessuto edilizio (“__________”). Va d’altronde sottolineato che l’istituzione stessa di questa zona residenziale-__________, limitata a sole 4-5 abitazioni , riveste carattere del tutto eccezionale; già si é detto che , di norma, tali piccole zone, staccate dagli abitati, non solo sono indesiderate ma addirittura contrarie al diritto federale (cfr. cons. 4.2.). Nel caso specifico l’unica finalità della zona __________ é quella di fornire un quadro pianificatoriamente coerente e ordinato ad una sostanza edilizia già presente, sorta probabilmente prima dell’entrata in vigore delle norme pianificatorie oggi conosciute. Non deve invece essere il pretesto per estendere ulteriormente l’edificazione, includendovi anche terreni liberi situati in posizione marginale come il mappale n. __________; tanto più se si considera il pregiato contesto paesaggistico e naturalistico nel quale é inserito. A questo proposito si osserva che quella in esame risulta essere una delle poche zone allo stato naturale ancora presenti lungo la riva del __________ in territorio di __________, caratterizzata dalla presenza di una rigogliosa vegetazione ripuale (arbusti, canneti). Come ricordato dal CdS, queste superfici sono alquanto rare lungo le rive dei laghi ticinesi, dal momento che le proprietà private e le costruzioni hanno occupato, negli scorsi decenni, gran parte degli spazi disponibili. La speculazione fondiaria degli anni ‘60 e ‘70, ed una politica allora piuttosto miope da parte dell’ente pubblico, hanno gravemente compromesso il carattere originario delle rive in quasi tutti i comuni ticinesi, sia sul __________ sia sul __________. Ora, misure pianificatorie che limitano l’edificabilità dei terreni situati direttamente a lago rivestono non solo un chiaro e sentito interesse pubblico, che prevale su quello del privato teso all’edificazione di queste superfici, ma contribuiscono anche a concretizzare il principio di cui all'art. 3 cpv. 2 lett. c. LPT, che impone alle autorità incaricate di compiti pianificatori di adattare i loro piani d'utilizzazione per tener libere le rive dei laghi. Le censure ricorsuali non possono pertanto essere accolte nemmeno su questo punto.</w:t>
      </w:r>
    </w:p>
    <w:p>
      <w:r>
        <w:rPr>
          <w:b/>
        </w:rPr>
        <w:t>E. 7</w:t>
      </w:r>
    </w:p>
    <w:p>
      <w:r>
        <w:t>Priva di fondamento é infine l’invocata disparità di trattamento, per il fatto che il fondo dei ricorrenti sarebbe l’unico nei paraggi a non essere stato incluso nell’area edificabile.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dell’autorità cantonale di escludere il fondo dei ricorrenti dalla zona residenziale sia stata determinata da criteri discriminatori, manifestamente insostenibili o, peggio ancora, arbitrari. Al contrario, la diversa strutturazione edilizia (in particolare l’assenza di costruzioni) e la posizione marginale rispetto al comparto già edificato (non si tratta, come già detto, di uno spazio libero interstiziale) giustificano il diverso trattamento nei confronti degli altri fondi inclusi nella zona __________.</w:t>
      </w:r>
    </w:p>
    <w:p>
      <w:r>
        <w:rPr>
          <w:b/>
        </w:rPr>
        <w:t>E. 8</w:t>
      </w:r>
    </w:p>
    <w:p>
      <w:r>
        <w:t>.   Stando così le cose, il ricorso , nella misura in cui chiede l’inserimento del fondo in zona edificabile, deve essere respinto . Tassa di giudizio e spese seguono la soccombenza.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