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90.1997.172 vom 9. Dezember 1998</w:t>
      </w:r>
    </w:p>
    <w:p>
      <w:r>
        <w:t>TI Tribunale d'appello, 1998-12-09, IT</w:t>
      </w:r>
    </w:p>
    <w:p>
      <w:r>
        <w:rPr>
          <w:b/>
        </w:rPr>
        <w:t xml:space="preserve">Quelle: </w:t>
      </w:r>
      <w:r>
        <w:t>https://mcp.opencaselaw.ch/entscheid/ti_gerichte_90.1997.172</w:t>
      </w:r>
    </w:p>
    <w:p>
      <w:r>
        <w:t>FR: TI_GERICHTE 90.1997.172 du 9 décembre 1998</w:t>
      </w:r>
    </w:p>
    <w:p>
      <w:r>
        <w:t>IT: TI_GERICHTE 90.1997.172 del 9 dicembre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Ciò premesso, il ricorso, intimato nel termine di 30 giorni di cui all’art. 38 LALPT, è tempestivo. La legittimazione ricorsuale è data a norma dell’art. 38 cpv. 4 lett. c LALPT.</w:t>
      </w:r>
    </w:p>
    <w:p>
      <w:r>
        <w:rPr>
          <w:b/>
        </w:rPr>
        <w:t>E. 2</w:t>
      </w:r>
    </w:p>
    <w:p>
      <w:r>
        <w:t>.   Il ricorrente contesta innanzitutto una violazione del suo diritto di essere sentito, avendo il Consiglio di Stato modificato la scelta pianificatoria operata dal Comune senza interpellarlo. L’ art. 4 Cost conferisce agli amministrati il diritto di essere sentiti prima che l'autorità assuma una decisione propria a ledere la loro posizione giuridica. L'estensione di questo diritto, la cui violazione costituisce diniego di giustizia, è definita in primo luogo dal diritto procedurale cantonale e, sussidiariamente, se le garanzie offerte da quest'ultimo sono insufficienti, dai principi procedurali che la giurisprudenza ha dedotto dal disposto costituzionale (DTF 119 Ia 149 consid. b). In concreto la LPAmm non prevede più ampi diritti di quelli garantiti dall’art. 4 Cost. Il diritto di essere sentiti abbraccia la facoltà dell'interessato di esporre le sue ragioni, di fornire prove su fatti rilevanti, di aver libero accesso agli atti, di partecipare all'amministrazione delle prove, di prenderne conoscenza e di determinarsi al riguardo. Il diritto di essere sentito è nello stesso tempo un'istituzione finalizzata all'istruzione della causa e una facoltà concessa alla parte di partecipare alla formazione di decisioni che potrebbero influire sulla sua situazione giuridica (DTF 115 Ia 96). Il diritto di essere sentito è di natura formale. La sua violazione comporta l'annullamento della disposizione impugnata, a prescindere da quali possano essere le prospettive di esito dell'impugnativa (DTF 111 Ia 166). La giurisprudenza ammette tuttavia che il vizio possa essere       sanato a condizione che: a) l’istanza superiore possa pronunciarsi sulle questioni litigiose                        con lo stesso potere cognitivo di quella inferiore; b) l’istanza superiore eserciti effettivamente tale potere; c) il diritto di essere sentito violato nell’istanza precedente sia ristabilito in quella superiore; si deve cioè porre rimedio in questa sede alle carenze che hanno portato nella precedente istanza alla violazione del diritto di essere sentito (cfr. DTF 118 Ib 120 segg. consid. 4). Va tuttavia considerato che l’autorità di ricorso può sanare il vizio se il suo potere di cognizione è pari, nelle circostanze concrete, a quello dell’autorità inferiore. In casu il ricorrente, patrocinato da un legale, ha potuto proporre in questa sede tutte le sue censure e sostanziarle. Esse sono di natura a poter essere esaminate dal TPT con piena cognizione. E’ censurato il diritto di essere sentito, l’autonomia comunale, nonché la violazione di norme di cui alla LPT, temi tutti che rientrano nel suo potere cognitivo e sui quali questo Tribunale dispone del sindacato di opportunità trattandosi di una modifica d’ufficio (vedi considerazioni paragrafo 3 seguente) . Si può quindi concludere che semmai un vizio c’è stato, a questo è stato posto rimedio in questa sede, garantendo il pieno esercizio di tutti i diritti procedurali e assumendo in contraddittorio le prove ritenute necessarie, tra le quali il sopralluogo del 26 maggio 1998. All’inconveniente della perdita del doppio grado di giurisdizione, si contrappongono esigenze di economia processuale che in questo caso sono chiaramente prevalenti e si oppongono al rinvio della vertenza alla precedente istanza.</w:t>
      </w:r>
    </w:p>
    <w:p>
      <w:r>
        <w:rPr>
          <w:b/>
        </w:rPr>
        <w:t>E. 3</w:t>
      </w:r>
    </w:p>
    <w:p>
      <w:r>
        <w:t>Il ricorrente invoca pure la violazione dell'autonomia comunale e accusa il Consiglio di Stato di aver ecceduto il proprio potere di apprezzamento. Va premesso, in proposito, che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__________).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cantonale. L'autorità governativa verificherà segnatamente che sia stata effettuata in modo corretto la ponderazione globale degli interessi richiesta dall'art. 3 OPT. Se l’autorità di approvazione esige dal comune, per motivi oggettivi, di porre il PR in consonanza con l’ordinamento giuridico e in primo luogo con la Costituzione, il comune invocherà invano la lesione della sua autonomia (DTF 1. giugno 1995 in re Comune di __________, 116 Ia 226 seg. consid. 2a; Alfred Kuttler, Zum Schutz der Gemeindeautonomie in der neueren bundesgerichtlichen Rechtsprechung, in Rep. 1991, pag. 45 seg., in part. 55). Quanto al Tribunale della pianificazione del territorio non dispone, contrariamente al Consiglio di Stato, del sindacato d’opportunità (tranne, in applicazione dell’art. 33 cpv. 3 lett. b LPT, se col ricorso è impugnata una modifica d’ufficio del PR; cfr. DTF 23.6.1995 1P.135/1995 in re Fond. University of philosophy conc. PR __________).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A mente di questo Tribunale, in concreto non sussistono i presupposti per ritenere violata l'autonomia comunale. Il Governo cantonale ha agito nei limiti del suo potere di apprezzamento, che, ricordiamo, abbraccia anche il sindacato d'opportunità, ma soprattutto la verifica del rispetto dei principi fondamentali della pianificazione del territorio, tra cui appunto il principio volto ad un uso parsimonioso del suolo in vista di un insediamento ordinato, commisurato ai bisogni della popolazione e dell'economia e rispettoso della salute dell’uomo e dell’ambiente. Concetti questi disattesi dall’autorità comunale, come diremo meglio in seguito, ragion per cui la modifica operata dal Consiglio di Stato appare giustificata.</w:t>
      </w:r>
    </w:p>
    <w:p>
      <w:r>
        <w:rPr>
          <w:b/>
        </w:rPr>
        <w:t>E. 4</w:t>
      </w:r>
    </w:p>
    <w:p>
      <w:r>
        <w:t>Scopo essenziale della pianificazione è di “assicurare una funzionale utilizzazione del suolo e una razionale abitabilità del territorio” (art. 22 quater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 Si dovrà aver cura di preservare l’abitato da immissioni nocive e moleste , di inserire molti spazi verdi e alberati, di creare vie pedonali e ciclabili.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5</w:t>
      </w:r>
    </w:p>
    <w:p>
      <w:r>
        <w:t>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5.1</w:t>
      </w:r>
    </w:p>
    <w:p>
      <w:r>
        <w:t>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w:t>
      </w:r>
    </w:p>
    <w:p>
      <w:r>
        <w:rPr>
          <w:b/>
        </w:rPr>
        <w:t>E. 5.2</w:t>
      </w:r>
    </w:p>
    <w:p>
      <w:r>
        <w:t>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segg.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segg. consid. 4 d).</w:t>
      </w:r>
    </w:p>
    <w:p>
      <w:r>
        <w:rPr>
          <w:b/>
        </w:rPr>
        <w:t>E. 5.3</w:t>
      </w:r>
    </w:p>
    <w:p>
      <w:r>
        <w:t>Il requisito più delicato è quello della prevedibile necessità di usare determinati fondi per l’edificazione nell’arco di quindici anni. Il metodo solitamente usato consiste nel determinare quale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 Una volta fatto il raffronto tra contenibilità e presumibile fabbisogno rimane da stabilire se la prima è ragionevolmente commisurata al secondo. Il Tribunale federale ha giudicato che il fattore due, ossia il raddoppio del numero degli abitanti nel termine di 15 anni, poteva essere accettato quale principio pianificatorio, purché si limitasse a fissare il dimensionamento massimo della zona edificabile ammissibile in casi estremi e in quelli solo, non invece se dovesse valere quale generale licenza di aumentare la zona edificabile sì da contenere il doppio della popolazione (DTF 116 Ia 230). Il Tribunale federale ha condannato l’eccessivo schematismo di simili formule. Pure qui si riterrà violato l’art. 15 LPT solo se è manifesto che la zona edificabile è eccessivamente dimensionata. L’art. 15 LPT, avverte il Tribunale federale, non ha carattere di assolutezza, non è da solo determinante. L’azzonamento deve tendere come tutta la pianificazione a realizzare un insediamento equilibrato, commisurato allo sviluppo che si vuole imprimere al paese. Ciò richiede la ponderazione generale di tutti gli aspetti ed interessi essenziali attinenti al territorio (DTF 116 Ia 232, 114 Ia 369, 113 Ib 230 segg. consid. 2c).</w:t>
      </w:r>
    </w:p>
    <w:p>
      <w:r>
        <w:rPr>
          <w:b/>
        </w:rPr>
        <w:t>E. 5.4</w:t>
      </w:r>
    </w:p>
    <w:p>
      <w:r>
        <w:t>Nel caso in esame questo Tribunale ritiene che l’assegnazione del particellare no. __________alla zona edificabile non si giustifica essenzialmente perché il requisito di cui alla lett. a) dell’art 15 LPT sviluppato nel precedente considerando no. 5. 2, che prevede la presenza di un comparto già ampiamente edificato, rispettivamente che sancisce il principio della concentrazione delle aree edificabili e condanna l’edificazione sparsa, non è adempiuto. Il fondo del ricorrente risulta infatti completamente staccato dal comparto edificabile. Posto nella parte bassa del comune, esso costituisce in pratica un lembo di terra incuneato tra l’autostrada e il fiume, confinante a nord con la zona agricola e a sud con una sola particella sulla quale sorge un esercizio pubblico. Attribuire a questo comparto il carattere di zona edificabile marginale secondaria, come la giurisprudenza riconosce a certi piccoli territori posti al bordo della zona edificabile (cfr. DTF 124 II 394 ss), non è a mente di questo Tribunale corretto, trattandosi come detto di un terreno isolato che in nessun modo condivide la funzione insediativa dell’abitato principale del comune. Inoltre esso non possiede di per se nessun carattere insediativo unitario. Nulla rileva la presenza sul fondo medesimo e su quello adiacente di due costruzioni. Determinante ai fini dell’art 15 LPT non è infatti che la singola particella sia edificata, ma che lo sia l’intero comprensorio della quale essa fa parte. In conclusione quindi già per questo motivo l’assegnazione del particellare no __________alla zona edificabile non si giustifica.</w:t>
      </w:r>
    </w:p>
    <w:p>
      <w:r>
        <w:rPr>
          <w:b/>
        </w:rPr>
        <w:t>E. 5.5</w:t>
      </w:r>
    </w:p>
    <w:p>
      <w:r>
        <w:t>In concreto non risulta del resto neppure adempiuto il requisito della prevedibile necessarietà all’edificazione sancito dalla lett. b del medesimo disposto. Dal rapporto di pianificazione si evince che attualmente il comune di __________ conta 798 unità insediative, comprendente 693 abitanti, 45 posti lavoro e 60 posti turistici. Ritenuto che il nuovo PR è dimensionato per circa 1’400 unità insediative, suddivise in 1’130 abitanti, 220 posti di lavoro e 69 posti turistici, esiste un potenziale di riserva per l’edificazione che permette quasi il raddoppio dell’attuale popolazione. In simili circostanze è evidente che l’attribuzione di altri 2’000 mq di terreno alla zona edificabile non solo non risulta necessaria, ma appare contraria ai principi di legge di cui si è detto sopra.</w:t>
      </w:r>
    </w:p>
    <w:p>
      <w:r>
        <w:rPr>
          <w:b/>
        </w:rPr>
        <w:t>E. 5.6</w:t>
      </w:r>
    </w:p>
    <w:p>
      <w:r>
        <w:t>Abbondanzialmente va inoltre rilevato che in concreto si ha motivo di credere che neppure il requisito dell’idoneità all’edificazione è adempiuto. Infatti giusta l'art. 3 cpv. 3 lett. b) LPT le autorità incaricate di compiti pianificatori devono tra l'altro provvedere a che i luoghi destinati all'abitazione vengano preservati il più possibile da immissioni nocive o moleste per l'uomo, come può essere ad esempio il rumore. A questo proposito i piani regolatori rappresentano gli strumenti adatti per concretizzare le necessarie misure di protezione, in quanto che per la determinazione dell'azzonamento deve essere debitamente considerato pure l'impatto acustico che le varie fonti di rumore provocano su ogni singolo comparto territoriale. L'art. 24 cpv. 1 LPA prevede a questo proposito che, nuove zone destinate alla costruzione di abitazioni per il soggiorno prolungato di persone, possono essere create soltanto nelle regioni in cui le immissioni foniche non superano i valori di pianificazione o nelle quali questi valori possono essere rispettati mediante misure di pianificazione, sistemazione o costruzione. Questo anche per attuare il principio di cui all'art. 1 cpv. 2 LPA postulante una preventiva protezione contro eventuali effetti dannosi dell'ambiente sull'uomo. Per il caso all’esame dagli atti dell’incarto risulta che l’attribuzione del fondo del ricorrente alla nuova zona residenziale con conseguente assegnazione del grado di sensibilità II, non permette il rispetto dei valori di pianificazione. In effetti il fondo è situato proprio a ridosso dell’autostrada, oltre che in prossimità di importanti svincoli stradali e, come osserva la Sezione dipartimentale della protezione dell’aria e dell’acqua, è esposto ad un elevato carico fonico. Non si vede con quali provvedimenti pianificatori, di sistemazione o di costruzione si possa ridurre il rumore entro i limiti dei valori di pianificazione.</w:t>
      </w:r>
    </w:p>
    <w:p>
      <w:r>
        <w:rPr>
          <w:b/>
        </w:rPr>
        <w:t>E. 6</w:t>
      </w:r>
    </w:p>
    <w:p>
      <w:r>
        <w:t>Confermato il mancato adempimento dei presupposti per l’assegnazione alla zona edificabile, resta da esaminare la fondatezza dell’assegnazione del particellare del ricorrente alla zona agricola, censurata da quest’ultimo ritenuta l’area in questione poco pregiata dal profilo agricolo. Ai sensi dell’art. 16 LPT le zone agricole comprendono i terreni idonei all’utilizzazione agricola o all’orticoltura e i terreni che, nell’interesse generale, devono essere utilizzati dall’agricoltura, con l’avvertenza che, per quanto possibile, devono essere delimitate ampie superfici contigue. Va tenuto presente che i terreni agricoli hanno subito una drastica riduzione negli anni addietro, il che rende particolarmente importante ed attuale la salvaguardia di quelli superstiti e ciò per tutta una serie di motivi, che vanno dalle necessità dell’agricoltura stessa, all’esigenza di assicurare l’approvvigionamento alimentare del paese in caso di grave crisi, alla riserva di aree impregiudicate per le prossime generazioni e infine alla protezione del paesaggio. Come rileva il Tribunale federale, le finalità della zona agricola sono molteplici: travalicano l’ambito meramente agricolo per invadere la politica dell’alloggio, del mercato immobiliare, della protezione dell’ambiente, ecc. La zona agricola  è l’antagonista per eccellenza della zona edificabile di cui è chiamata a contrastare l’invadenza. In questa funzione deve mantenere libere anche aree mediocremente idonee all’agricoltura ma meritevoli per altre considerazioni di essere conservate. Né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Nel caso concreto, il sopralluogo ha evidenziato che l’inserimento in zona agricola è assolutamente conforme all’art. 16 LPT; l’area all’esame non è infatti né improduttiva né tanto meno sterile. Il terreno é di natura essenzialmente prativa (adatto allo sfalcio quindi). Morfologia e clima lo rendono potenzialmente atto anche alla viticoltura. Nel complesso, ed in particolare se considerano anche i terreni agricoli adiacenti, si tratta di un’area sufficientemente vasta (perlomeno alle nostre latitudini) e soprattutto contigua, ed in questo si realizza quanto auspicato dal cpv. 2 dell’art. 16 LPT. Ciò considerato questo Tribunale ritiene pertanto che l’inserimento in zona agricola del particellare del ricorrente è sicuramente conforme all’art. 16 LPT nonché ai principi di cui sopra. Anche su questo punto quindi la censura del ricorrente non può venir accolta.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