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90.1997.152 vom 28. April 2000</w:t>
      </w:r>
    </w:p>
    <w:p>
      <w:r>
        <w:t>TI Tribunale d'appello, 2000-04-28, IT</w:t>
      </w:r>
    </w:p>
    <w:p>
      <w:r>
        <w:rPr>
          <w:b/>
        </w:rPr>
        <w:t xml:space="preserve">Quelle: </w:t>
      </w:r>
      <w:r>
        <w:t>https://mcp.opencaselaw.ch/entscheid/ti_gerichte_90.1997.152</w:t>
      </w:r>
    </w:p>
    <w:p>
      <w:r>
        <w:t>FR: TI_GERICHTE 90.1997.152 du 28 avril 2000</w:t>
      </w:r>
    </w:p>
    <w:p>
      <w:r>
        <w:t>IT: TI_GERICHTE 90.1997.152 del 28 aprile 2000</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ricorsuale del signor __________ e ora della Fondazione è data a norma dell’art. 38 cpv. 4 lett. b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secondo cui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 3.   Attribuzione della proprietà alla zona agricola 3.1 Entrando nel merito della vertenza, occorre anzitutto ricordare che 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 3.2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 3.3 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 3.4 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 3.5 Fatte queste premesse, n el caso di specie è innanzitutto necessario esaminare la questione generale della contenibilità teorica del PR di Paradiso (art. 15 lett. b) LPT). L’idoneità all’edificazione e le altre caratteristiche del comparto territoriale all’esame saranno singolarmente esaminate di seguito. Dal rapporto di pianificazione (cfr. pag. 33) si evince che la contenibilità teorica del nuovo PR indica un totale di 11’200 unità insediative, di cui 5’250 abitanti, 3’750 posti turismo e 2’200 posti lavoro. Ciò equivale ad una riserva di 1’665 unità abitative, dal momento che la popolazione residente a fine 1994 era di 3’585 abitanti (Annuario statistico ticinese, ed. 1995), corrispondente, nei 10-15 anni di cui all’art. 15 LPT, ad un aumento pari al 46% della popolazione attuale. Ora, l’evoluzione demografica registrata negli ultimi anni nel Comune di __________ rende improbabile l’esaurimento di una tale ricettività del PR. Gli abitanti del comune sono infatti passati da 3’261 nel 1980 a 3’372 nel 1990, pari ad un aumento del 3,4%, a 3'400 nel 1998, registrando così un aumento della popolazione del 0,83% nell’ultimo decennio. Evidentemente non può essere sostenuto, in queste condizioni, che il fondo in discussione sia prevedibilmente necessario all'edificazione ai sensi dell'art. 15 lett. b) LPT. Ammettere il contrario significherebbe smentire la costante prassi secondo cui sussiste un interesse generale ad impedire, rispettivamente a ridurre, la formazione di zone edificabili troppo vaste (DTF 117 Ia 434 consid. 3 e, 302 consid. 4b, 116 Ia 221 consid. 3b, 115 Ia 384 consid. 4a, 114 Ia 364 consid. 4). Circa l’adempimento del presupposto di una preesistente ampia edificazione di cui alla lett. a) dell’art. 15 LPT, rispettivamente di una completa urbanizzazione, va rilevato che, contrariamente a quanto sostenuto dalla ricorrente, fatta astrazione degli edifici che formano il nucleo di __________, la superficie in esame risulta libera da costruzioni. Non sono dunque neppure adempiuti i presupposti dell'art. 15 lett. a) LPT. Anche queste censure ricorsuali non possono pertanto essere accolte. 3.6 Per una completa ponderazione degli interessi in gioco deve tuttavia essere ancora verificato se esistono altre ragioni a supporto del mancato inserimento in zona edificabile del comparto in esame. Il comune di __________ ha ritenuto opportuno inserire i fondi della ricorrente in zona agricola, assoggettandola a sua volta ad un vincolo di protezione paesaggistica. Al proposito va rilevato che giusta l’art. 16 cpv. 1 LPT, le zone agricole comprendono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Per questo motivo, il fatto che il PD non includa espressamente un comparto in zona agricola non preclude a priori l'attribuzione dello stesso a tale zona. In concreto, dagli atti in nostro possesso risulta che, dallo studio specialistico fatto allestire dal comune, l’area comprensiva dei fondi della ricorrente rappresenta una delle rare occasioni del comune per la destinazione d’uso a scopo agricolo. Inoltre, come giustamente evidenziato dal Dipartimento nelle sue osservazioni, ritenuto che il comparto in esame costituisce parte integrante di un antico podere agricolo, la sua idoneità agricola risulta in definitiva storicamente comprovata.</w:t>
      </w:r>
    </w:p>
    <w:p>
      <w:r>
        <w:rPr>
          <w:b/>
        </w:rPr>
        <w:t>E. 4</w:t>
      </w:r>
    </w:p>
    <w:p>
      <w:r>
        <w:t>Vincoli di protezione paesaggistica e di monumento culturale</w:t>
      </w:r>
    </w:p>
    <w:p>
      <w:r>
        <w:rPr>
          <w:b/>
        </w:rPr>
        <w:t>E. 4.1</w:t>
      </w:r>
    </w:p>
    <w:p>
      <w:r>
        <w:t>Il contestato piano regolatore assoggetta la proprietà della ricorrente a tutta una serie di vincoli pianificatori che ne limitano l'edificabilità e lo sfruttamento. Prima di entrare nel merito delle singole censure occorre anzitutto rilevare che, come restrizioni di diritto pubblico della proprietà privata, questi vincoli sono compatibili con l’art. 26 Cost. soltanto se riposano su una base legale (che deve essere chiara ed esplicita quando la limitazione è particolarmente grave, cfr. DTF 114 Ia 117, consid. 3), sono giustificati da un interesse pubblico preponderante, rispettano il principio della proporzionalità, non violano la garanzia della proprietà quale istituto e danno luogo a piena indennità ove equivalgono ad una espropriazione (DTF 10 febbraio 1992 in re Micheli, consid. 2; 113 Ia consid. 2). Nella fattispecie il problema della violazione della garanzia della proprietà quale istituto non si pone. I problemi espropriativi esulano invece da questa procedura. Da verificare resta quindi se per ogni vincolo in concreto imposto sono stati rispettati i tre requisiti della base legale, dell’interesse pubblico e della proporzionalità, capaci di giustificare una limitazione della proprietà privata.</w:t>
      </w:r>
    </w:p>
    <w:p>
      <w:r>
        <w:rPr>
          <w:b/>
        </w:rPr>
        <w:t>E. 4.2</w:t>
      </w:r>
    </w:p>
    <w:p>
      <w:r>
        <w:t>La protezione della natura e del paesaggio è sancita a livello costituzionale dall'art. 78 Cost.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pure protetto dalla LPT: l'art. 3 cpv. 2 LPT proclama che il paesaggio dev'essere rispettato e che in particolare (lett. d) occorre conservare i siti naturali. Tale funzione è svolta in ambito comunale dal PR: l'art. 17 LPT prevede l'istituzione di zone protette comprendenti tra l'altro i “paesaggi particolarmente belli e quelli con valore naturalistico o storico-culturale” (lett. b), nonché “i siti caratteristici e i monumenti naturali e culturali” (lett. c). Il diritto cantonale può però prevedere altre misure adatte, al posto delle zone di protezione (art. 17 cpv. 2 LPT). La LALPT prevede espressamente all’art 28 cpv. 2 lett. h) la possibilità di fissare nelle rappresentazioni grafiche dei PR i vincoli speciali cui è assoggettata l’utilizzazione di taluni fondi, in particolare per la protezione delle acque, la tutela del paesaggio, dei contenuti naturalistici del paesaggio, degli edifici di pregio storico culturale o della vista panoramica. Inoltre, secondo l'art. 29 cpv. 2 lett. d) LALPT, il PR può prevedere l'obbligo di mantenere costruzioni, singoli alberi, gruppi di essi o siepi che concorrono a formare la bellezza e la caratteristica del paesaggio. Ne risulta quindi che l’imposizione dei vincoli è sorretta da una valida base legale. Accertata la base legale, occorre esaminare se i vincoli contestati sono sorretti da un interesse pubblico.</w:t>
      </w:r>
    </w:p>
    <w:p>
      <w:r>
        <w:rPr>
          <w:b/>
        </w:rPr>
        <w:t>E. 4.3</w:t>
      </w:r>
    </w:p>
    <w:p>
      <w:r>
        <w:t>Per quanto concerne l'inserimento dei fondi della ricorrente nella zona di protezione del paesaggio ZPP1, va anzitutto rilevato come l’area inedificata, che attornia il complesso colonico del nucleo di __________ caratterizzi, assieme ai pendii vignati posti nelle immediate vicinanze del Comune di __________, una parte delle pendici del __________ __________ __________, creando un’armoniosa cornice al territorio insediativo presente. Questo Tribunale ritiene quindi che a giusta ragione il pianificatore ha istituito su di essa un vincolo di protezione paesaggistica, disciplinato all'art. 24 NAPR. Con ciò si è evidentemente inteso evitare che un’ulteriore estensione degli insediamenti potesse pregiudicare l’integrità di questo paesaggio particolarmente meritevole. Ritenuto quindi come questa misura sia volta oltre che alla salvaguardia di una passata realtà rurale comunale, anche alla tutela della bellezza del territorio, essa va senz’altro rispettata e confermata anche in questa sede. Importante è al proposito rilevare come la delimitazione della zona residenziale nel vecchio PR sia stata effettuata in tempi in cui le peculiarità del sito non erano ancora state riconosciute nella misura ora proposta. Avvalendosi di studi e di accertamenti che hanno potuto fornire un quadro complessivo del territorio, il Comune ha quindi potuto provvedere a predisporre un miglior e più appropriato ordinamento.</w:t>
      </w:r>
    </w:p>
    <w:p>
      <w:r>
        <w:rPr>
          <w:b/>
        </w:rPr>
        <w:t>E. 4.4</w:t>
      </w:r>
    </w:p>
    <w:p>
      <w:r>
        <w:t>La ricorrente censura infine l’imposizione del vincolo di monumento culturale a carico del nucleo di __________ e in particolare degli edifici posti ai mappali no. __________e __________RFD. In concreto gli oggetti storici protetti sono stati singolarmente indicati e definiti nell’art. 29 NAPR, norma che elenca i monumenti culturali d’importanza locale che il Comune intende salvaguardare. La misura pianificatoria adottata risulta quindi sorretta da una valida base legale. Quanto all’interesse pubblico a questa scelta pianificatoria, va innanzitutto rilevato che, giusta la giurisprudenza del Tribunale Federale, un edificio può essere qualificato quale monumento storico anche se non abbia in sé uno straordinario valore architettonico, ma sia tipico e caratteristico di un'epoca passata (DTF 91 I 342; cfr. inoltre art. 2 della nuova Legge sulla protezione dei beni culturali). Con il sopralluogo si è potuto costatare come il complesso colonico di __________ è degno di conservazione non solo per i suoi valori architettonici rurali, ma anche per i suoi significati storici: già menzionato nel lontano 1735 quale importante podere agricolo, essa rappresenta in definitiva l’ultima testimonianza ancora presente sul territorio comunale di un’epoca ormai trascorsa. L'interesse pubblico alla sua conservazione va quindi sicuramente confermato. Verificata la presenza di un interesse pubblico alla misura in contestazione, occorre ora esaminare se per rapporto alle circostanze concrete, il vincolo così adottato dal comune risulta ragionevole, attuabile e sopportabile e segnatamente se non sacrifica sproporzionatamente l’interesse privato contrapposto. Se così fosse il vincolo violerebbe il principio della proporzionalità (DTF 118 Ia 400). Come risulta dagli atti dell’incarto e dall'art. 29 cpv. 2 NAPR, il vincolo in esame non toglie alla proprietaria la possibilità di operare degli interventi edilizi sugli edifici in questione, fermo restando naturalmente che queste opere vengano eseguite in rispetto delle caratteristiche del nucleo protetto. Anzi interventi di manutenzione mirati sono persino auspicati dalla legge, ciò che è senz’altro corretto data l’importanza degli oggetti e l’interesse pubblico da loro rivestito. Il sacrificio imposto alla proprietaria appare quindi ragionevole e tutto sommato rispettoso del principio della proporzionalità.</w:t>
      </w:r>
    </w:p>
    <w:p>
      <w:r>
        <w:rPr>
          <w:b/>
        </w:rPr>
        <w:t>E. 5</w:t>
      </w:r>
    </w:p>
    <w:p>
      <w:r>
        <w:t>Ciò rilevato va detto in conclusione che l’interesse della ricorrente a edificare i suoi fondi, non può, per quanto comprensibile, contrapporsi con successo all’interesse pubblico di preservare la funzione agricola e con essa paesaggistica del comprensorio, interesse che integra quello di assicurare un corretto dimensionamento della zona edificabile. Rettamente, quindi, il Consiglio di Stato ha approvato l’inserimento in zona agricola dei fondi in discussione, rispettivamente gli ulteriori vincoli imposti. Risulta infatti chiaramente dalle pregresse considerazioni che la discussa soluzione pianificatoria è conforme al diritto e risponde ad un interesse pubblico preponderante. I provvedimenti rispettano inoltre il principio della proporzionalità e infatti non sono fuori misura per rapporto allo scopo perseguito, sono adeguati a conseguirlo e non potrebbero essere sostituiti con successo da altri meno incisivi (DTF 117 Ia 318, 115 Ia 376). Il Comune ha quindi agito nella sfera della sua autonomia, senza eccedere il potere di apprezzamento che gli compete. Il TPT, che non ha il sindacato di opportunità e che ad ogni modo non può sostituire una soluzione del Comune oggettivamente sostenibile con un’altra che ritenga preferibile, non può che riconoscere la legittimità della risoluzione qui impugnata. Infine, come già segnalato, questo Tribunale non è competente per pronunciarsi sulle richieste di espropriazione avanzate dalla ricorrente, le quali dovranno se del caso seguire la procedura della Legge cantonale specifica. Per questi motivi, visti gli articoli di legge applicabili alla fattispecie, dichiara e pronuncia 1.   Il ricorso è respinto . 2.   La ricorrente è condannata al pagamento delle tasse di giudizio e delle spese per complessivi fr. 700.-- (settecento) . Non si assegnano ripetibili. 3.   Intimazione:                  - avv. __________ __________, __________ - Municipio di __________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