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90.1997.139 vom 27. August 1997</w:t>
      </w:r>
    </w:p>
    <w:p>
      <w:r>
        <w:t>TI Tribunale d'appello, 1997-08-27, IT</w:t>
      </w:r>
    </w:p>
    <w:p>
      <w:r>
        <w:rPr>
          <w:b/>
        </w:rPr>
        <w:t xml:space="preserve">Quelle: </w:t>
      </w:r>
      <w:r>
        <w:t>https://mcp.opencaselaw.ch/entscheid/ti_gerichte_90.1997.139</w:t>
      </w:r>
    </w:p>
    <w:p>
      <w:r>
        <w:t>FR: TI_GERICHTE 90.1997.139 du 27 août 1997</w:t>
      </w:r>
    </w:p>
    <w:p>
      <w:r>
        <w:t>IT: TI_GERICHTE 90.1997.139 del 27 agosto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La legittimazione ricorsuale del ricorrente è data a norma dell’art. 38 cpv. 4 lett. b LALPT. Presentato nei termini di legge, e quindi tempestivo, il ricorso è ricevibili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in applicazione dell’art. 33 cpv.</w:t>
      </w:r>
    </w:p>
    <w:p>
      <w:r>
        <w:rPr>
          <w:b/>
        </w:rPr>
        <w:t>E. 3</w:t>
      </w:r>
    </w:p>
    <w:p>
      <w:r>
        <w:t>Scopo essenziale della pianificazione è di “ assicurare una funzionale utilizzazione del suolo e una razionale abitabilità del territorio” (art. 22 quater Cost.). Obiettivo primo, la netta separazione tra territorio abitato e non.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oltre a garantire la difesa nazionale. Giusta l’art. 3 il paesaggio dev’essere tutelato sia mantenendo sufficienti superfici coltive per l’agricoltura, sia integrandovi armoniosamente gli insediamenti, conservando i siti naturali e gli spazi ricreativi e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spesso contrastanti, di una realtà talvolta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il paesaggio e più specificamente l’ambiente, rispondendo in modo diversificato ai bisogni e alle aspirazioni della popolazione (cfr. DTF 117 Ia 432 consid. 4b, 115 Ia 339 consid. 5, 113 Ia 461 consid. 5a). Il principio trova la sua consacrazione all’art. 3 OPT (Obbligo di ponderazione) ai cui sensi “se dispongono di margini d’azione nell’adempimento e coordinamento dei compiti d’incidenza territoriale, le autorità ponderano i diversi interessi.” In tale contesto esse: “a) verificano gli interessi toccati; b) valutano gli interessi verificati considerandone in particolare la compatibilità con lo sviluppo territoriale auspicato e con le implicazioni possibili; c) tengono conto di tali interessi nel miglior modo possibile, sulla base della loro valutazione.” Infine “nella motivazione delle decisioni esse presentano la ponderazione degli interessi.” L’assenza o carenza della ponderazione porta alla violazione dell’art. 4 Cost. (DTF 114 Ia 376).</w:t>
      </w:r>
    </w:p>
    <w:p>
      <w:r>
        <w:rPr>
          <w:b/>
        </w:rPr>
        <w:t>E. 4</w:t>
      </w:r>
    </w:p>
    <w:p>
      <w:r>
        <w:t>Come già rilevato nei fatti, in concreto il ricorrente contesta il mancato inserimento dei suoi mappali posti in località “__________ ” nella zona edificabile al momento dell’adozione della revisione del PR da parte del legislativo comunale. La validità di questa scelta pianificatoria verrà esaminata in dettaglio qui di seguito. Preliminarmente vanno però evidenziati alcuni principi pianificatori che trovano applicazione nella fattispecie. Innanzitutto per quanto riguarda la zona edificabile va rilevato che giusta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a.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LPAmb). Deve inoltre   tener adeguatamente conto delle necessità delle infrastrutture pubbliche (DTF 114 Ia 251 consid. 5c). b. 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 c. 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accertato quale principio pianificatorio, purché            si limitasse a fissare il dimensionamento massimo della zona   edificabile ammissibile in casi estremi e in quelli solo, non                                  invece se dovesse valere quale generale licenza di       aumentare la zona edificabile si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di     tutti gli interessi essenziali attinenti al territorio (DTF 116 Ia        232, 114 Ia 369, 113 Ib 230 segg. consid. 2c).</w:t>
      </w:r>
    </w:p>
    <w:p>
      <w:r>
        <w:rPr>
          <w:b/>
        </w:rPr>
        <w:t>E. 6</w:t>
      </w:r>
    </w:p>
    <w:p>
      <w:r>
        <w:t>Fatte queste premesse occorre ora applicare questi principi alla fattispecie concreta. Nel caso di specie è innanzitutto necessario esaminare la questione generale della contenibilità teorica del PR (art. 15 lett. b LPT). L’idoneità all’edificazione e le altre caratteristiche del comparto territoriale all’esame saranno singolarmente esaminate di seguito. Dal rapporto di pianificazione (cfr. pag. 33) si evince che la contenibilità teorica del nuovo PR indica un totale di 11’200 unità insediative, di cui 5’250 abitanti, 3’750 posti turismo e 2’200 posti lavoro. Ciò equivale ad una riserva di 1’665 unità abitative, dal momento che la popolazione residente a fine 1994 era di 3’585 abitanti (Annuario statistico ticinese, ed. 1995), corrispondente, nei 10-15 anni di cui all’art. 15 LPT, ad un aumento pari al 46% della popolazione attuale. Ora, l’evoluzione demografica registrata negli ultimi anni nel Comune di __________ rende improbabile l’esaurimento di una tale ricettività del PR. Gli abitanti del comune sono infatti passati da 3’261 nel 1980 a 3’372 nel 1990, registrando così un aumento della popolazione del 3,4% nell’ultimo decennio. Evidentemente non può essere sostenuto, in queste condizioni, che il fondo in discussione sia prevedibilmente necessario all'edificazione ai sensi dell'art. 5 lett. b) LPT. Estendere oltre il comprensorio edificabile non corrisponde alla costante prassi secondo cui sussiste un interesse generale ad impedire, rispettivamente a ridurre la formazione di zone edificabili troppo vaste (DTF 117 Ia 434 consid. 3 e, 302 consid. 4b, 116 Ia 221 consid. 3b, 115 Ia 384 consid. 4a, 114 Ia 364 consid. 4). Circa l’adempimento del presupposto di una preesistente ampia edificazione di cui alla lett. a dell’art. 15 LPT, rispettivamente di una completa urbanizzazione, va rilevato che, contrariamente a quanto sostenuto dal ricorrente, fatta astrazione degli edifici che formano il nucleo di __________, la superficie in esame risulta libera da costruzioni. Non sono dunque neppure adempiuti i presupposti dell'art. 5 lett. a) LPT. Anche queste censure ricorsuali non possono pertanto essere accolte.</w:t>
      </w:r>
    </w:p>
    <w:p>
      <w:r>
        <w:rPr>
          <w:b/>
        </w:rPr>
        <w:t>E. 7</w:t>
      </w:r>
    </w:p>
    <w:p>
      <w:r>
        <w:t>Per una completa ponderazione degli interessi in gioco deve tuttavia essere ancora verificato se esistono altre ragioni a supporto del mancato inserimento in zona edificabile del comparto in esame. Il comune di __________ ha ritenuto opportuno inserire i fondi del ricorrente in zona agricola, assogettandola a sua volta ad un vincolo di protezione paesaggistica. Al proposito va rilevato che giusta l’art. 16 cpv. 1 LPT, le zone agricole comprendono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In concreto, dagli atti in nostro possesso risulta che, da uno studio specialistico fatto allestire dal comune, l’area comprensiva dei fondi del ricorrente rappresenta una delle rare occasioni del comune per la destinazione d’uso a scopo agricolo. Inoltre, come giustamente evidenziato dal Dipartimento nelle sue osservazioni, ritenuto che il comparto in esame costituisce parte integrante di un antico podere agricolo, la sua idoneità agricola risulta in definitiva storicamente comprovata. Visto e considerato inoltre come quest’area non edificata, che attornia il complesso colonico del nucleo di __________, assieme ai pendii vignati posti nelle immediate vicinanze del Comune di __________, caratterizzi una parte delle pendici del __________ __________ __________, creando un’armoniosa cornice al territorio insediativo presente, questo Tribunale ritiene che a giusta ragione il pianificatore ha pure istituito su di essa un vincolo di protezione paesaggistica. Con ciò si è evidentemente inteso evitare che un’ulteriore estensione degli insediamenti possa pregiudicare l’integrità di questo paesaggio particolarmente meritevole. Ritenuto quindi come questa misura sia volta oltre che alla salvaguardia di una passata realtà rurale comunale, anche alla tutela della bellezza del territorio, va senz’altro rispettata e confermata anche in questa sede.</w:t>
      </w:r>
    </w:p>
    <w:p>
      <w:r>
        <w:rPr>
          <w:b/>
        </w:rPr>
        <w:t>E. 8</w:t>
      </w:r>
    </w:p>
    <w:p>
      <w:r>
        <w:t>Priva di fondamento é infine l’invocata disparità di trattamento, per il fatto che mentre i fondi del ricorrente sono stati tolti dalla zona edificabile con la revisione del PR, altri vi sono stati inseriti ex novo.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i fondi del ricorrente dalla zona residenziale sia stata determinata da criteri discriminatori, manifestamente insostenibili o, peggio ancora, arbitrari. Al contrario, la diversa strutturazione storico-paesaggistica dei fondi dell’insorgente, giustificano il loro diverso trattamento nei confronti degli altri terreni inclusi nella zona edificabile. Importante è al proposito rilevare come la delimitazione della zona residenziale nel vecchio PR sia stata effettuata in tempi in cui le peculiarità del sito non erano ancora state riconosciute nella misura ora proposta. Avvalendosi di studi e di accertamenti che hanno potuto fornire un quadro complessivo del territorio, il Comune ha quindi potuto provvedere a predisporre un miglior e più appropriato ordinamento.</w:t>
      </w:r>
    </w:p>
    <w:p>
      <w:r>
        <w:rPr>
          <w:b/>
        </w:rPr>
        <w:t>E. 9</w:t>
      </w:r>
    </w:p>
    <w:p>
      <w:r>
        <w:t>Il ricorrente ha infine censurato l’imposizione del vincolo di monumento culturale a carico del nucleo di __________ e in particolare degli edifici posti ai mappali no. __________, __________e __________, come previsto nell’art. 29 NAPR. Per prassi costante del Tribunale federale una restrizione di diritto pubblico della proprietà è compatibile con la garanzia della proprietà sancita dall'art. 22ter Cost. solo se si fonda su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 Giusta l’art. 17 cpv. 2 LPT per la protezione di siti caratteristici, luoghi storici e monumenti naturali e culturali, il diritto cantonale può prevedere invece dell’istituzione di zone protette, altre misure adatte a tutelarne i valori. L’art. 28 cpv. 2 lett. h LALPT prevede espressamente la possibilità per il comune d’istituire nel PR dei vincoli speciali cui è assoggettata l’utilizzazione di taluni fondi per la protezione tra l’altro pure degli edifici di pregio storico-culturale. Tale scopo perseguono pure le norme di attuazione del piano regolatore, nelle quali deve essere stabilito l’obbligo di conservazione di tali oggetti (art. 29 cpv. 2 lett. d) LALPT). In concreto gli oggetti storici protetti sono stati singolarmente indicati e definiti nell’art. 29 delle NAPR, dal quale risulta appunto un dettagliato elenco di tutti i monumenti culturali d’importanza locale che il Comune intende salvaguardare. Da queste considerazioni risulta chiaramente che la misura pianificatoria in concreto adottata è sorretta da una valida base legale. Quanto all’interesse pubblico a questa scelta pianificatoria, va innanzitutto rilevato che, giusta la giurisprudenza del Tribunale Federale, un edificio può essere qualificato quale monumento storico anche se non abbia in sé uno straordinario valore architettonico, ma sia tipico e caratteristico di un'epoca passata (cfr. Adelio Scolari, Commento della Legge edilizia del Canton Ticino, art. 16, nota 43). Con il sopralluogo si è potuto costatare come il complesso colonico di __________ è degno di conservazione non solo per i suoi valori architettonici rurali, ma anche per i suoi significati storici. Già menzionato nel lontano 1735 quale importante podere agricolo, essa rappresenta in pratica l’ultima testimonianza ancora presenti sul territorio comunale di un’epoca ormai trascorsa. L'interesse pubblico alla sua conservazione va quindi sicuramente confermato. Verificata la presenza di un interesse pubblico alla misura in contestazione, occorre ora esaminare se per rapporto alle circostanze concrete, il vincolo così adottato dal comune risulta ragionevole, attuabile e sopportabile e segnatamente se non sacrifica sproporzionatamente l’interesse privato contrapposto. Se così fosse il vincolo violerebbe il principio della proporzionalità (DTF 118 Ia 400). Come risulta dagli atti dell’incarto, il vincolo in esame non toglie al proprietario la possibilità di operare degli interventi edilizi sugli edifici in questione, fermo restando naturalmente che queste opere vengano eseguite in rispetto delle caratteristiche del nucleo protetto. Anzi interventi di manutenzione mirati sono persino auspicati dalla legge, ciò che è senz’altro corretto data l’importanza degli oggetti e l’interesse pubblico da loro rivestito. Il sacrificio imposto al proprietario appare quindi ragionevole e tutto sommato rispettoso del principio della proporzionalità.</w:t>
      </w:r>
    </w:p>
    <w:p>
      <w:r>
        <w:rPr>
          <w:b/>
        </w:rPr>
        <w:t>E. 10</w:t>
      </w:r>
    </w:p>
    <w:p>
      <w:r>
        <w:t>Ciò rilevato va detto in conclusione che l’interesse del ricorrente a edificare i suoi fondi, non può, per quanto comprensibile, contrapporsi con successo all’interesse pubblico di preservare la funzione agricola e con essa paesaggistica del comprensorio. Interesse che integra quello di assicurare un corretto dimensionamento della zona edificabile. Giustamente, quindi, il Consiglio di Stato ha approvato l’inserimento in zona agricola dei fondi in discussione, rispettivamente gli ulteriori vincoli imposti. Risulta infatti chiaramente dalle pregresse considerazioni che la discussa soluzione pianificatoria è conforme al diritto e risponde ad un interesse pubblico preponderante. Il provvedimento rispetta inoltre il principio della proporzionalità e infatti non è fuori misura per rapporto allo scopo perseguito, è adeguato a conseguirlo e non potrebbe essere sostituito con successo da altro meno incisivo (DTF 117 Ia 318, 115 Ia 376). Il Comune ha rettamente agito nella sfera della sua autonomia, senza eccedere il potere di apprezzamento che gli compete e dunque il Consiglio di Stato ha giustamente approvato su questo punto il PR. Il TPT, che non ha il sindacato di opportunità e che ad ogni modo non può sostituire una soluzione del Comune oggettivamente sostenibile con un’altra  che ritenga preferibile, non può che riconoscere la legittimità della risoluzione qui impugnata. Da ultimo si segnala come questo Tribunale non è competente per pronunciarsi sulle richieste di espropriazione avanzate dal ricorrente, le quali dovranno se del caso seguire la procedura della Legge cantonale specifica. Per questi motivi, visti gli articoli di legge applicabili alla fattispecie, dichiara e pronuncia 1.   Il ricorso é respinto . 2.   Il ricorrente é condannato al pagamento delle tasse di giudizio e delle spese per complessivi fr. 700.--. 3.   Intimazione:                  - Avv. __________ __________ , __________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