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90.1997.119 vom 11. September 2003</w:t>
      </w:r>
    </w:p>
    <w:p>
      <w:r>
        <w:t>TI Tribunale d'appello, 2003-09-11, IT</w:t>
      </w:r>
    </w:p>
    <w:p>
      <w:r>
        <w:rPr>
          <w:b/>
        </w:rPr>
        <w:t xml:space="preserve">Quelle: </w:t>
      </w:r>
      <w:r>
        <w:t>https://mcp.opencaselaw.ch/entscheid/ti_gerichte_90.1997.119</w:t>
      </w:r>
    </w:p>
    <w:p>
      <w:r>
        <w:t>FR: TI_GERICHTE 90.1997.119 du 11 septembre 2003</w:t>
      </w:r>
    </w:p>
    <w:p>
      <w:r>
        <w:t>IT: TI_GERICHTE 90.1997.119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3.3.1. Nell'ambito dell'adozione della variante di piano regolatore concernente l'inventario degli edifici situati fuori dalle zone edificabili l’assemblea comunale di __________ ha classificato l'edificio n. __________, formato da tre costruzioni e situato al mappale n__________, in località __________, nella categoria "meritevole 1b/trasformato 3/rilevato 4”. Approvando la variante il Consiglio di Stato ha, invece, modificato la valutazione assegnando un fabbricato (sub. B, censito quale diroccato-sedime) alla categoria "diroccato 2" (cfr. risoluzione impugnata, cifra 3.4, pag. 7).</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tale assunto. Afferma che il suo “diroccato”, al mappale n. __________, ha un’importanza rilevante sia per la compattezza del nucleo stesso sia per la funzionalità della cascina ad esso appoggiata. Rileva che il diroccato sito al mappale n. __________è stato dichiarato ricostruibile. Chiede, pertanto, che il fabbricato venga assegnato alla categoria “meritevole 1b” e possa, di conseguenza, essere trasformato in residenza.</w:t>
      </w:r>
    </w:p>
    <w:p>
      <w:r>
        <w:rPr>
          <w:b/>
        </w:rPr>
        <w:t>E. 3.3</w:t>
      </w:r>
    </w:p>
    <w:p>
      <w:r>
        <w:t>La valutazione effettuata dall’autorità cantonale merita di essere condivisa. Alla data, determinante, del rilievo dell’edificio, effettuato per conto del comune, la costruzione, in stato di abbandono, non aveva un tetto e nemmeno dei muri perimetrali, solo un mucchio di sassi delimitava il perimetro della costruzione (cfr. fotografie riferite al rilievo del settembre 1994). Trattasi dunque di un diroccato giusta l’art. 29 seconda frase RLALPT: opera in rovina, inutilizzabile, ovvero non degna di conservazione. È quanto, del resto, ammette lo stesso ricorrente nel suo ricorso. Un’attribuzio-ne del fabbricato alla categoria “meritevole 1a” non entra, quindi, in linea di conto: assegnazione peraltro nemmeno sollecitata. Il nucleo di __________ è inoltre stato definito come meritevole di conservazione (cfr. risoluzione impugnata, cifra 3.3, pag. 5). Di principio, quindi, la ricostruzione dei diroccati che ne fanno parte sarebbe possibile (cfr. consid. 2.4). Questa possibilità dev’essere tuttavia relativizzata nel senso che essa è volta a permettere il ripristino dei diroccati che presentano ancora strutture edilizie e sagome dei muri perimetrali ancora ben visibili (cfr. esame preliminare della variante effettuato dal dipartimento del territorio il 5 dicembre 1995, cifra 4.2, pag. 8). Lo stato di degrado in cui versa l’edificio è, pertanto, determinante. Come spiega il Governo nella risoluzione impugnata (cfr. cifra 3.4, pag. 5), i sedimi che pur fanno parte di un nucleo meritevole di conservazione non possono, di conseguenza, essere ricostruiti, trattandosi di “edifici” strutturalmente non più integrabili e rilevabili. È il caso del fabbricato censito al sub B del mapp. __________, di proprietà del ricorrente; questo non può di conseguenza essere assegnato alla categoria “meritevole 1b”. All’insorgente non giova nemmeno richiamarsi la situazione in cui si trova l’edificio al mapp. __________per spuntare un esito favorevole; in effetti questo diroccato, che potrà essere ripristinato, si presenta in uno stato di conservazione nettamente migliore (muri perimetrali su tutti i lati, che talora raggiungono l’altezza d’uomo).</w:t>
      </w:r>
    </w:p>
    <w:p>
      <w:r>
        <w:rPr>
          <w:b/>
        </w:rPr>
        <w:t>E. 3.4</w:t>
      </w:r>
    </w:p>
    <w:p>
      <w:r>
        <w:t>Il ricorso deve essere, dunque, respinto. 4.   La tassa di giudizio è posta a carico del ricorrente (art. 28 PAmm). Per questi motivi, visti gli articoli di legge applicabili alla fattispecie, dichiara e pronuncia 1.   Il ricorso è respinto . 2. La tassa di giudizio, di fr. 500.--, è posta a carico del ricorrente. 3.   Intimazione a: - __________ __________ , ____________________; - Municipio di __________ , ____________________; - Divisione della pianificazione territoriale , _____ _. ________ __, ____ ____________; - Consiglio di Stato , Residenza governativa, 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