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90.1996.75 vom 17. Januar 2003</w:t>
      </w:r>
    </w:p>
    <w:p>
      <w:r>
        <w:t>TI Tribunale d'appello, 2003-01-17, IT</w:t>
      </w:r>
    </w:p>
    <w:p>
      <w:r>
        <w:rPr>
          <w:b/>
        </w:rPr>
        <w:t xml:space="preserve">Quelle: </w:t>
      </w:r>
      <w:r>
        <w:t>https://mcp.opencaselaw.ch/entscheid/ti_gerichte_90.1996.75</w:t>
      </w:r>
    </w:p>
    <w:p>
      <w:r>
        <w:t>FR: TI_GERICHTE 90.1996.75 du 17 janvier 2003</w:t>
      </w:r>
    </w:p>
    <w:p>
      <w:r>
        <w:t>IT: TI_GERICHTE 90.1996.75 del 17 gennaio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L'insorgente contesta la valutazione effettuata dalle autorità comunale e cantonale. Afferma, in particolare, che il fabbricato è per volume, struttura ed ubicazione, privo di interesse per l'agricoltura. Quest’opinione è condivisa in un’analisi delle possibilità di sfruttamento agricolo delle sue proprietà in loco, allestita dall’associazione svizzera per il servizio alle regioni e comuni (SEREC), annessa al gravame. Il ricorrente chiede, pertanto, che l'edificio venga assegnato alla categoria "meritevole 1a" e possa, di conseguenza, essere trasformato in residenza. In caso contrario l’edificio è votato ad un irreversibile deperimento.</w:t>
      </w:r>
    </w:p>
    <w:p>
      <w:r>
        <w:rPr>
          <w:b/>
        </w:rPr>
        <w:t>E. 3.3</w:t>
      </w:r>
    </w:p>
    <w:p>
      <w:r>
        <w:t>La valutazione effettuata dalle istanze inferiori merita di essere condivisa. Essa è, infatti, conforme alle direttive cantonali. Invano il ricorrente pretende di spuntare la soluzione opposta, asserendo che l’edificio non è idoneo al soddisfacimento dei bisogni agricoli: anche se non potesse essere adibito a stalla o fienile esso potrebbe senz’altro essere impiegato per soddisfare delle necessità minori di questa attività (ad esempio come piccolo deposito di attrezzi, materiale ecc.).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quindi, essere respinto. 4.   La tassa di giudizio è posta a carico del ricorrente (art. 28 PAmm). Per questi motivi, visti gli articoli di legge sopra citati,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l'edificio no. __________ del comparto n. __________, situato al mapp. __________, nella categoria "meritevole 1d", ossia tra quegli edifici ancora utilizzati (o utilizzabili) a scopo agricolo, sia nelle superfici per l'avvicendamento colturale (SAC) che negli altri terreni inclusi nella zona agricola del piano regolatore, che devono mantenere tale destinazione. Approvando la variante il CdS ha riconfermato tale valutazione. L’edificio in oggetto è difatti ubicato in una SAC (cfr. risoluzione impugnata, pag. 9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