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90.1996.6 vom 20. März 1997</w:t>
      </w:r>
    </w:p>
    <w:p>
      <w:r>
        <w:t>TI Tribunale d'appello, 1997-03-20, IT</w:t>
      </w:r>
    </w:p>
    <w:p>
      <w:r>
        <w:rPr>
          <w:b/>
        </w:rPr>
        <w:t xml:space="preserve">Quelle: </w:t>
      </w:r>
      <w:r>
        <w:t>https://mcp.opencaselaw.ch/entscheid/ti_gerichte_90.1996.6</w:t>
      </w:r>
    </w:p>
    <w:p>
      <w:r>
        <w:t>FR: TI_GERICHTE 90.1996.6 du 20 mars 1997</w:t>
      </w:r>
    </w:p>
    <w:p>
      <w:r>
        <w:t>IT: TI_GERICHTE 90.1996.6 del 20 marzo 1997</w:t>
      </w:r>
    </w:p>
    <w:p>
      <w:pPr>
        <w:pStyle w:val="Heading2"/>
      </w:pPr>
      <w:r>
        <w:t>Volltext</w:t>
      </w:r>
    </w:p>
    <w:p>
      <w:r>
        <w:t>Incarto n.90.96.00006</w:t>
      </w:r>
    </w:p>
    <w:p>
      <w:r>
        <w:t>Lugano</w:t>
      </w:r>
    </w:p>
    <w:p>
      <w:r>
        <w:t>20 marzo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del19 gennaio 1996di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__________novembre 1995 nr. __________del Consiglio di Stato che approva il Piano Regolatore del Comune di __________;</w:t>
      </w:r>
    </w:p>
    <w:p>
      <w:r>
        <w:t>viste le osservazioni21 marzo 1996del Consiglio di Stato e15 maggio 1996del Comune di __________;</w:t>
      </w:r>
    </w:p>
    <w:p>
      <w:r>
        <w:t>letti ed esaminati gli atti;</w:t>
      </w:r>
    </w:p>
    <w:p>
      <w:r>
        <w:t>visto che alludienza del 18 marzo 1997 laricorrente ha    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Avv. _________, 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