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90.1996.44 vom 5. Dezember 1996</w:t>
      </w:r>
    </w:p>
    <w:p>
      <w:r>
        <w:t>TI Tribunale d'appello, 1996-12-05, IT</w:t>
      </w:r>
    </w:p>
    <w:p>
      <w:r>
        <w:rPr>
          <w:b/>
        </w:rPr>
        <w:t xml:space="preserve">Quelle: </w:t>
      </w:r>
      <w:r>
        <w:t>https://mcp.opencaselaw.ch/entscheid/ti_gerichte_90.1996.44</w:t>
      </w:r>
    </w:p>
    <w:p>
      <w:r>
        <w:t>FR: TI_GERICHTE 90.1996.44 du 5 décembre 1996</w:t>
      </w:r>
    </w:p>
    <w:p>
      <w:r>
        <w:t>IT: TI_GERICHTE 90.1996.44 del 5 dicembre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15.3.1995). La legittimazione ricorsuale dei ricorrenti è data a norma dell’art. 38 cpv. 4 lett. c LALPT. Presentato nei termini di legge, e quindi tempestivo, il ricorso é ricevibile in ordine.</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Per una completa ponderazione degli interessi in gioco deve tuttavia essere ancora verificato se esistono altre ragioni a supporto dell’impugnata risoluzione e se il Consiglio di Stato ha rettamente stralciato, far quelle possibili proprio l’area in contestazione. Come già rilevato, il Governo oltre al problema del sovradimensionamento ha addotto motivi di natura agricola, di tutela paesaggistica.</w:t>
      </w:r>
    </w:p>
    <w:p>
      <w:r>
        <w:rPr>
          <w:b/>
        </w:rPr>
        <w:t>E. 6.1</w:t>
      </w:r>
    </w:p>
    <w:p>
      <w:r>
        <w:t>In concreto trattasi di un’area posta a nord-ovest del territorio comunale, situata al margine del comparto già edificato, priva di costruzioni e formata prevalentemente da prati e vigneti. Dalla relazione tecnica risulta che questa fascia di terreno riveste una funzione paesaggistica importante, in quanto crea un distacco tra il bosco e l’abitato, evidenziandone le caratteristiche. Il sopralluogo ha permesso in effetti di rilevare che la presenza di queste aree aperte, costituite da spazi verdi e vignati, poste al limite del comprensorio edificato, rappresentano una cornice ideale per l’immagine del Comune. Permettervi l’edificazione pregiudicherebbe evidentemente l’integrità di questo paesaggio.</w:t>
      </w:r>
    </w:p>
    <w:p>
      <w:r>
        <w:rPr>
          <w:b/>
        </w:rPr>
        <w:t>E. 6.2</w:t>
      </w:r>
    </w:p>
    <w:p>
      <w:r>
        <w:t>L’impugnata risoluzione deve essere tutelata anche considerate le norme che presiedono all’istituzione delle zone agricole. Queste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Come rileva il Tribunale federale, le finalità della zona agricola sono molteplici: travalicano l’ambito meramente agricolo per invadere la politica dell’alloggio, del mercato immobiliare, della protezione dell’ambiente, ecc. La zona agricola è l’antagonista per eccellenza della zona edificabile di cui è chiamata a contrastare l’invadenza. In questa funzione deve mantenere libere anche aree mediocremente idonee all’agricoltura ma meritevoli per altre considerazioni di essere conservate. Questa funzione protettiva non può essere svolta dalle zone di protezione dell’art. 17 LPT, poiché in linea di principio queste tutelano solo i paesaggi “particolarmente belli”. Di conseguenza la protezione di paesaggi “normali” può unicamente farsi attribuendoli a zone agricole (sentenza 4.6.1993 della I. Corte di diritto pubblico, ZBl, Band 95/1994 pag. 133 seg., trad. libera). E’ in effetti innegabile che l'uso agricolo del suolo è uno dei fattori che maggiormente determinano le fattezze di un paesaggio (DTF 113 Ia 200). Non a caso, nel porre il rispetto del paesaggio tra i principi pianificatori fondamentali,  l’art. 3 cpv. 2 LPT precisa alla lett. a) che a questo fine occorre “mantenere per l’agricoltura superfici coltive idonee.” Nel caso concreto, il sopralluogo ha evidenziato che l’inserimento in zona agricola è sicuramente conforme all’art. 16 LPT nonché ai principi di cui sopra: l’area all’esame non è, come detto, improduttiva né tanto meno sterile e forma un’area agricola relativamente vasta e pregiata anche dal punto di vista paesaggistico. In un primo tempo questo comparto era stato assegnato dal PD alla zona SAC (superfici per l’avvicendamento colturale); ora risulta comunque come territorio agricolo sussidiario che nell’interesse generale deve essere utilizzato dall’agricoltura. È quindi senz’altro da attribuire alla zona agricola perlomeno a norma dell’art. 16 cpv. 1 lett. b LPT e dell’art. 5 lett. c LTAgr (“altri terreni agricoli sussidiari”). L’attribuzione alla zona agricola trova pure conferma nelle indicazioni del Dipartimento del territorio, che nell’ambito dell’esame preliminare aveva suggerito di dezonare e attribuire il comparto alla zona agricola.</w:t>
      </w:r>
    </w:p>
    <w:p>
      <w:r>
        <w:rPr>
          <w:b/>
        </w:rPr>
        <w:t>E. 6.3</w:t>
      </w:r>
    </w:p>
    <w:p>
      <w:r>
        <w:t>Per concludere si può ancora affermare che la riduzione della zona edificabile proprio su questo comparto si giustifica in quanto il criterio adottato dal Comune per fissare, sull’intero territorio, il margine del comprensorio edificabile, è stato quello di limitarlo ai comparti già costruiti, tralasciando le aree ancora verdi. Trovandosi l’area in oggetto al di là dal territorio già edificato, in quanto completamente libera da costruzioni dato che prima d’ora non è mai stata inserita nella zona edificabile, ben si comprende come proprio essa sia stata considerata per lo stralcio. Si deve inoltre convenire con il Governo che l’estensione della zona edificabile anche a quest’area potrebbe effettivamente ingenerare futuri problemi sia pianificatori che di parità di trattamento, nel caso in cui appunto proprietari di fondi viciniori dovessero presentare domanda di ampliamento della zona.</w:t>
      </w:r>
    </w:p>
    <w:p>
      <w:r>
        <w:rPr>
          <w:b/>
        </w:rPr>
        <w:t>E. 7</w:t>
      </w:r>
    </w:p>
    <w:p>
      <w:r>
        <w:t>Tutto ciò considerato, questo Tribunale deve concludere che nella fattispecie in esame l’interesse privato dei singoli proprietari a edificare i loro fondi in questa località, deve cedere il passo difronte al prevalente interesse pubblico volto ad un corretto dimensionamento delle aree edificabili e all’esclusione dalle medesime delle parti paesaggisticamente meritevoli di essere salvaguardate. L’impugnativa degli insorgenti non può quindi venir accolta e di conseguenza la decisione di stralcio del Consiglio di Stato viene confermata.</w:t>
      </w:r>
    </w:p>
    <w:p>
      <w:r>
        <w:rPr>
          <w:b/>
        </w:rPr>
        <w:t>E. 8</w:t>
      </w:r>
    </w:p>
    <w:p>
      <w:r>
        <w:t>Tassa di giudizio e spese seguono la soccombenza. Per questi motivi, visti gli articoli di legge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