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90.1996.22 vom 3. März 2003</w:t>
      </w:r>
    </w:p>
    <w:p>
      <w:r>
        <w:t>TI Tribunale d'appello, 2003-03-03, IT</w:t>
      </w:r>
    </w:p>
    <w:p>
      <w:r>
        <w:rPr>
          <w:b/>
        </w:rPr>
        <w:t xml:space="preserve">Quelle: </w:t>
      </w:r>
      <w:r>
        <w:t>https://mcp.opencaselaw.ch/entscheid/ti_gerichte_90.1996.22</w:t>
      </w:r>
    </w:p>
    <w:p>
      <w:r>
        <w:t>FR: TI_GERICHTE 90.1996.22 du 3 mars 2003</w:t>
      </w:r>
    </w:p>
    <w:p>
      <w:r>
        <w:t>IT: TI_GERICHTE 90.1996.22 del 3 marzo 2003</w:t>
      </w:r>
    </w:p>
    <w:p>
      <w:pPr>
        <w:pStyle w:val="Heading2"/>
      </w:pPr>
      <w:r>
        <w:t>Regeste</w:t>
      </w:r>
    </w:p>
    <w:p>
      <w:r>
        <w:t>Sentenza o decisione senza scheda</w:t>
      </w:r>
    </w:p>
    <w:p>
      <w:pPr>
        <w:pStyle w:val="Heading2"/>
      </w:pPr>
      <w:r>
        <w:t>Erwägungen</w:t>
      </w:r>
    </w:p>
    <w:p>
      <w:r>
        <w:rPr>
          <w:b/>
        </w:rPr>
        <w:t>E. 30</w:t>
      </w:r>
    </w:p>
    <w:p>
      <w:r>
        <w:t>gennaio 2002, capitolo "Situazione: problematiche, conflitti"). 2.2. D al punto di vista del diritto federale l'art. 39 OPT, ai cpv. 2 e 3, pone le premesse e le condizioni in base alle quali l'autorità cantonale competente può autorizzare, fuori dalle zone edificabili, il cambiamento di destinazione di detti edifici e impianti (cfr., in precedenza, l'art. 24 cpv. 2 e 3 dell'ora abrogata OPT del 2 ottobre 1989, cpv. 2 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 Non è lecito eludere il principio della separazione tra zona edificabile e zona non edificabile e la regolamentazione restrittiva concernente le autorizzazioni eccezionali fuori dalle zone edificabili. L'art. 39 cpv. 2 OPT è, pertanto, correttamente attuato solo quando l'interesse pubblico al mantenimento di un edificio mediante cambiamento dell'utilizzazione permette di scostarsi dal menzionato principio della separazione; d'altro canto, la regolamentazione in esame, nel suo insieme, non può essere applicata in modo così intenso da mettere in discussione il principio stesso della separazione. L'essere degno di protezione e la messa sotto protezione non deve essere, dunque, un pretesto per giustificare una modifica dell'utilizzazione inammissibile giusta l'art. 24 LPT: occorre, quindi, fissare esigenze sufficientemente elevate ai paesaggi ed agli edifici, sia per quanto concerne il riconoscimento della dignità di protezione, sia per quanto concerne l'intensità della messa sotto protezione. 2.3. 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__________.__________.__________). Come spiega il rapporto d’esame allestito dall’ufficio federale dello sviluppo territoriale alla cifra __________.__________.__________,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 2.4. 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dell'adeguatezza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l'assemblea comunale di __________ ha classificato le costruzioni n. __________ e n. __________ come "diroccato 2" ed assegnato l'edificio n. __________ alla categoria "rilevato 4". Approvando la variante il Consiglio di Stato ha confermato la valutazione degli edifici n. __________ e __________; ha, invece, modificato la valutazione dell'edificio n. __________ in "diroccato 2". Il ricorrente chiede che la costruzione n. __________ venga assegnata alla categoria "meritevole 1a", la costruzione n. __________ alla categoria "meritevole 1b" e l'edificio n. __________ alla categoria "meritevole 1a" ed, in via subordinata, alla categoria " rilevato 4". Egli sostiene di avere già iniziato i lavori di riattazione degli edifici. L'apparente loro degrado è, pertanto, la conseguenza di un'intenzione di tali lavori. Per quanto concerne l'edificio n. __________, l'insorgente afferma inoltre che trattasi di un rustico in situazione particolarmente pregevole, prossimo ad altri stabili riattati a scopo agricolo. 3.2. La valutazione effettuata dal Consiglio di Stato dev'essere confermata. Per quanto concerne, anzitutto, gli edifici n. __________ e __________, alla data, determinante, del loro rilievo effettuato per conto del comune le costruzioni, in stato di abbandono totale, presentavano solo una parte dei muri perimetrali (cfr. la relativa documentazione fotografica, agli atti). Trattasi dunque di diroccati giusta l'art. 29 seconda frase RLALPT. Opere in rovina, inutilizzabili, ovvero non degne di conservazione. Dal menzionato rilievo non risulta, peraltro, minimamente traccia di un qualche intervento di riattazione dei fabbricati, di cui è accenno nel gravame. Sia comunque soggiunto, per completezza, che la classificazione di un edificio in sede di inventario non pregiudica la validità di una licenza edilizia relativa ad interventi sull'edificio stesso. Per quanto riguarda, invece, l'edificio n. __________, i rilievi allestiti per conto dell'autorità comunale mostrano che lo stabile, che presenta parimenti solo una parte dei muri perimetrali, è stato oggetto di interventi edilizi. Da quanto si può desumere nella sentenza del Tribunale federale 13 gennaio 1989 inc. __________.__________ /__________, richiamata nella risposta del dipartimento, i lavori di riattazione, al beneficio della sola licenza edilizia comunale, erano stati sospesi con risoluzione dipartimentale 27 settembre 1984. Lo stesso dipartimento aveva indi negato il rilascio della licenza edilizia in sanatoria per la trasformazione del rustico in casa di vacanza con decisione 11 febbraio 1987, confermata, in ultima istanza dal Tribunale federale attraverso il menzionato giudicato. Alla luce della situazione in cui versa l'immobile, a ragione il Consiglio di Stato lo ha, pertanto, classificato tra gli edifici nella categoria "diroccato 2", al pari delle costruzioni n. __________ e __________. Valgono, al riguardo, le considerazioni espresse in precedenza per i testè menzionati rustici. Poco importa, come rettamente obietta l'autorità dipartimentale, se lo stato di diroccato risulti, come di regola, dall'incuria oppure, come in concreto, dall'intervento attivo dell'uomo, che demolisce, quantomeno parzialmente, il manufatto in vista della sua ricostruzione. Queste conclusioni devono trovare, applicazione, a maggior ragione, quando, come nella fattispecie l'intervento effettuato sull'edificio non è al beneficio delle necessarie autorizzazioni. Ferme queste premesse, non entra nemmeno in linea di conto l'assegnazione dell'edificio alla categoria "rilevato 4", come chiede il ricorrente in via subordinata. Il ricorrente non dimostra, infine, né tenta di dimostrare che l'edificio n. 93 sia posto in un nucleo meritevole di conservazione nell'accezione restrittiva che gli è stata conferita attraverso le direttive cantonali (cfr. consid. 2.4.) e che è stata confermata nel giudizio impugnato (cfr. risoluzione impugnata, pag. 3 e 7). Per questo motivo l'assegnazione del fabbricato in rassegna alla categoria "meritevole 1b" è parimenti esclusa. 3.3. Il ricorso deve essere, quindi, respinto. 4.   La tassa di giudizio è posta a carico del ricorrente (art. 28 PAmm). Per questi motivi, visti gli articoli di legge sopra citati,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