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90.1995.83 vom 4. März 1997</w:t>
      </w:r>
    </w:p>
    <w:p>
      <w:r>
        <w:t>TI Tribunale d'appello, 1997-03-04, IT</w:t>
      </w:r>
    </w:p>
    <w:p>
      <w:r>
        <w:rPr>
          <w:b/>
        </w:rPr>
        <w:t xml:space="preserve">Quelle: </w:t>
      </w:r>
      <w:r>
        <w:t>https://mcp.opencaselaw.ch/entscheid/ti_gerichte_90.1995.83</w:t>
      </w:r>
    </w:p>
    <w:p>
      <w:r>
        <w:t>FR: TI_GERICHTE 90.1995.83 du 4 mars 1997</w:t>
      </w:r>
    </w:p>
    <w:p>
      <w:r>
        <w:t>IT: TI_GERICHTE 90.1995.83 del 4 marzo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10 febbraio 1992 in re Micheli, consid. 5b;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5</w:t>
      </w:r>
    </w:p>
    <w:p>
      <w:r>
        <w:t>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Esse fissano, all’interno delle varie zone stabilite, vincoli o agevolazioni per particolari forme di utilizzazione quali quelle destinate al turismo e allo svago (art. 28 cpv. 2 lett. a, ultima frase), nonché le modalità e i vincoli per agevolare il pubblico accesso e percorso delle rive dei laghi e dei fiumi (lett. g). Il vincolo in contestazione dispone pertanto nelle summenzionate disposizioni di una base legale chiara ed esplicita.</w:t>
      </w:r>
    </w:p>
    <w:p>
      <w:r>
        <w:rPr>
          <w:b/>
        </w:rPr>
        <w:t>E. 6</w:t>
      </w:r>
    </w:p>
    <w:p>
      <w:r>
        <w:t>L'interesse pubblico di un'area di svago o di una passeggiata a lago non può, di norma, essere contestato. Il Tribunale federale ha già avuto modo di rilevare in più di un'occasione (sentenza 11 settembre 1987 in re eredi __________ -__________ consid. 5b, DTF 105 Ia 222 consid. 3; Rep. 1985 pagg. 252, consid. 3a; sentenza 18 gennaio 1986 in re Eredi __________, consid. 2c; sentenza 17 dicembre 1986 in re Comune di __________ -__________) che in linea generale questa misura pianificatoria concretizza il principio di cui all'art. 3 cpv. 2 lett. c. LPT, che impone alle autorità incaricate di compiti pianificatori di adattare i loro piani d'utilizzazione per tener libere le rive dei laghi e di adoperarsi affinché la generalità dei cittadini possa accedervi e percorrerle agevolmente (DFGP/UPT, Commento LPT, n. 34 all'art. 3). Simili provvedimenti sono inoltre conformi a quanto indicato all'art. 25 LALPT, contribuendo a realizzare gli obbiettivi del Piano Direttore in materia di componenti naturali del territorio, di paesaggio, di ricreazione e di turismo, questo in particolare con riferimento alle schede di coordinamento III.c.9.17 e segg. che indicano quali obbiettivi del coordinamento la messa a disposizione della popolazione aree di ricreazione e sentieri a lago (per _________ e la riva del _________ vedi in particolare i riferimenti alla scheda 9.19.4 del PD).</w:t>
      </w:r>
    </w:p>
    <w:p>
      <w:r>
        <w:rPr>
          <w:b/>
        </w:rPr>
        <w:t>E. 6.1</w:t>
      </w:r>
    </w:p>
    <w:p>
      <w:r>
        <w:t>Nella fattispecie l'interesse pubblico della piccola area di svago (ca. 180 mq) ricavata sui fondi n. 39 e 40 RFD é decisamente contestato dai proprietari. Essi sostengono che la necessità del vincolo non é stata sufficientemente dimostrata da parte delle autorità comunali e cantonali, mancando in particolare seri ed aggiornati studi sulle aree di svago a lago (quelli su cui ci si basa risalgono ad una ventina di anni fa’). L’estensione di tali aree nel comune di _________ sarebbe d’altronde già più che sufficiente a coprire i bisogni della popolazione locale e dei turisti. Il segmento del litorale contemplato dalla variante di PR é costituito dalla parte inferiore dei f. n. 39 e 40 RFD, che risultano separati da un basso muricciolo dalla riva bianca vera e propria (f.n. 38, di proprietà cantonale). Questa piccola porzione di terreno, di forma grossomodo triangolare, é situata immediatamente a sinistra della foce del torrente “_________”, ed é occupata da alcuni arbusti e piante di alto fusto. Non vi é dubbio che si tratti di un’area pregiata, a contatto diretto con un tratto di riva del _________ ancora allo stato naturale. Tali aree, contrariamente alle opinioni dei ricorrenti, sono alquanto rare lungo le rive dei laghi ticinesi; i bacini del _________ e del Ceresio sono infatti perlopiù di difficile accesso, dal momento che le proprietà private hanno occupato, negli scorsi decenni, gran parte degli spazi disponibili. La speculazione fondiaria, ed una politica allora piuttosto miope e poco lungimirante da parte dell’ente pubblico, hanno gravemente compromesso l’accessibilità pubblica delle rive in quasi tutti i comuni ticinesi. Il provvedimento qui contestato, che va letto nel più ampio contesto della passeggiata a lago prevista su un lungo tratto della riva a _________, é quindi lodevole, e tende a recuperare alla collettività uno spazio naturale di sicuro pregio, non ancora soffocato dalla presenza di costruzioni incombenti sin sulla riva. Certo, lo si conviene con i ricorrenti, la realizzazione della prevista passeggiata a lago non potrà prescindere da importanti considerazioni quali le modalità di protezione della flora e della fauna ripuale o ancora l’inserimento delle strutture architettoniche (muretti, scalinate, panchine) nel paesaggio. Questo non sta però a significare che l’ente pubblico debba a priori rinunciare alla pianificazione di uno strumento di pubblica utilità quale una passeggiata a lago solo perché, allo stato attuale delle cose, non risulta ben chiaro dal progetto quale sarà la sistemazione puntuale delle opere murarie e la loro posizione rispetto al litorale vero proprio (riva bianca). Anche le considerazioni di ordine tecnico-finanziario sono da relativizzare: é noto che la maggior parte dei comuni ticinesi sta attraversando un periodo piuttosto difficile da questo profilo (specchio della persistente stagnazione economica degli ultimi anni), ma non per questo la pianificazione del territorio deve rinunciare al perseguimento di importanti obbiettivi di interesse pubblico, utili alla crescita civile del paese e al miglioramento generale della qualità della vita, principi che più volte sono stati impunemente calpestati nel passato, anche recente.</w:t>
      </w:r>
    </w:p>
    <w:p>
      <w:r>
        <w:rPr>
          <w:b/>
        </w:rPr>
        <w:t>E. 6.2</w:t>
      </w:r>
    </w:p>
    <w:p>
      <w:r>
        <w:t>A detta degli insorgenti la variante in esame non terrebbe conto del fatto che Tribunale federale e Gran Consiglio hanno già definitivamente cassato la proposta di istituire un vincolo AP per bagno pubblico sui fondi di loro proprietà. L’istituzione di altri vincoli AP, a cui si é semplicemente cambiata la denominazione, non sarebbe pertanto più proponibile. Tale argomentazione deve tuttavia essere respinta. L’area originariamente prevista per il bagno pubblico era molto più estesa che quella oggetto della presenta variante, coprendo in pratica l‘intero fondo n. 40 e gran parte di quello 39, fino a ridosso dell’abitazione dei sigg. __________. Le autorità di ricorso giudicarono che il pregiudizio portato ai proprietari (e i relativi oneri espropriativi a carico dell’ente pubblico) risultavano sproporzionati rispetto all’intendimento perseguito, tenuto soprattutto conto che il Comune di _________ già disponeva ( e dispone) di un bagno pubblico attrezzato e che una nuova infrastruttura era difficilmente giustificabile dal movimento turistico nella zona. In assenza dei fondamentali requisiti di interesse pubblico e proporzionalità, non vi era altra alternativa che stralciare il vincolo di bagno pubblico previsto dal PR. Queste decisioni non comportano tuttavia l’automatica assegnazione del terreno svincolato alla limitrofa zona R2; il Gran Consiglio, in particolare, riconoscendo il ruolo dell’autonomia comunale in ambito pianificatorio, ha rettamente demandato al Comune lo studio di un nuovo azzonamento delle particelle __________e __________ RFD, giudicando che questa autorità potesse meglio comprendere le peculiarità del luogo e operare una più giusta valutazione degli interessi in causa. Ne é scaturita la presente variante di PR, che risulta sorretta da sufficiente interesse pubblico e, come vi vedrà in seguito, è rispettosa del principio della proporzionalità.</w:t>
      </w:r>
    </w:p>
    <w:p>
      <w:r>
        <w:rPr>
          <w:b/>
        </w:rPr>
        <w:t>E. 7</w:t>
      </w:r>
    </w:p>
    <w:p>
      <w:r>
        <w:t>Al cospetto dell’esistenza di un interesse pubblico deve ancora essere esaminato il rispetto del principio della proporzionalità, segnatamente se il mezzo adottato è il meno incisivo fra quelli possibili, è idoneo a conseguire lo scopo di interesse pubblico prefisso e se sussiste un rapporto ragionevole tra il risultato da raggiungere e le restrizioni della proprietà necessarie al suo conseguimento (DTF 111 Ia 98, 113 Ia 137). La misura pianificatoria all'esame è certamente idonea, e nessuno lo contesta, a permettere la creazione di un’area di svago prossima alla riva del _________. Anche l’adeguatezza del provvedimento non può essere criticata; togliere la parte dei fondi n. __________e __________occupata dal vincolo per inserirla in zona edificabile potrebbe seriamente compromettere la futura realizzazione della passeggiata pubblica in quel tratto. Come giustamente osservato dalle autorità inferiori, omettendo l’imposizione del vincolo si correrebbe il rischio che la situazione venga compromessa a tal punto (nel caso di edificazione, ad es.) che una futura espropriazione non risulterebbe più possibile, o lo sarebbe solo a condizioni proibitive. Infine, per quanto attiene al grado di limitazione della proprietà degli insorgenti, va detto che l’area gravata da vincolo é tutto sommato modesta (180 mq), e corrisponde, per ammissione stessa dei ricorrenti, a non più del 10% della superficie complessiva dei due fondi. Essa é situata in posizione piuttosto decentrata, stretta fa la riva del lago e la foce del fiumiciattolo, nell’angolo più distante dall’abitazione sorgente sul f.n. __________. Va inoltre considerato che, con la variante in oggetto, la parte restante dei due fondi é stata inserita nell’area edificabile R2. In simili circostanze gli inconvenienti a scapito dei ricorrenti risultano più che modesti e senz’altro sopportabili. Gli interessi fatti valere (esplicitamente od implicitamente) dai ricorrenti devono quindi cedere il passo al preponderante interesse pubblico in gioco.</w:t>
      </w:r>
    </w:p>
    <w:p>
      <w:r>
        <w:rPr>
          <w:b/>
        </w:rPr>
        <w:t>E. 8</w:t>
      </w:r>
    </w:p>
    <w:p>
      <w:r>
        <w:t>.   Per le pregresse considerazioni il ricorso è respinto. Tasse e spese di giudizio seguono la soccombenza. Non vengono assegnate ripetibili. Per questi motivi, viste le norme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