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90.1995.72 vom 6. Dezember 1995</w:t>
      </w:r>
    </w:p>
    <w:p>
      <w:r>
        <w:t>TI Tribunale d'appello, 1995-12-06, IT</w:t>
      </w:r>
    </w:p>
    <w:p>
      <w:r>
        <w:rPr>
          <w:b/>
        </w:rPr>
        <w:t xml:space="preserve">Quelle: </w:t>
      </w:r>
      <w:r>
        <w:t>https://mcp.opencaselaw.ch/entscheid/ti_gerichte_90.1995.72</w:t>
      </w:r>
    </w:p>
    <w:p>
      <w:r>
        <w:t>FR: TI_GERICHTE 90.1995.72 du 6 décembre 1995</w:t>
      </w:r>
    </w:p>
    <w:p>
      <w:r>
        <w:t>IT: TI_GERICHTE 90.1995.72 del 6 dicembre 1995</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dei ricorrenti è data a norma dell’art. 38 cpv. 4 lett. b) LALPT. Presentati nei termini di legge, e quindi tempestivi, i ricorsi sono ricevibili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Alcuni ricorrenti invocano in via preliminare la violazione del diritto di essere sentiti. Partono dall’assunto che il Consiglio di Stato doveva necessariamente compiere atti d’istruttoria per accertare adeguatamente la fattispecie ed in modo particolare esperire il richiesto sopralluogo. Si ricorda in proposito che l'art. 4 Cost conferisce agli amministrati il diritto di essere uditi prima che un'autorità assuma una decisione che li tocchi da vicino. L'estensione di questo diritto, la cui violazione costituisce diniego di giustizia, è definita in primo luogo dal diritto procedurale cantonale e, sussidiariamente, se le garanzie offerte da quest'ultimo sono insufficienti, dai principi procedurali che la giurisprudenza ha dedotto dal disposto costituzionale. Così è in concreto, posto che la LPam non prevede più ampi diritti di quelli garantiti dall’art. 4 Cost. Il diritto di essere sentiti abbraccia la facoltà dell'interessato di esporre le sue ragioni, di fornire prove sui fatti rilevanti, di aver libero accesso agli atti, di partecipare all'amministrazione delle prove, di prenderne conoscenza e di determinarsi al riguardo. Il diritto di essere sentito è nello stesso tempo un'istituzione finalizzata all'istruzione della causa e una facoltà concessa alla parte di partecipare alla formazione di decisioni che potrebbero ledere la sua situazione giuridica (DTF 115 Ia 96). Il diritto di essere sentito è di natura formale. La sua violazione comporta l'annullamento della disposizione impugnata, a prescindere da quali possano essere le prospettive di esito dell'impugnativa (DTF 111 Ia 166). Va tuttavia considerato che l’autorità di ricorso può sanare il vizio se il suo potere di cognizione è pari, nelle circostanze concrete, a quello dell’autorità inferiore. In casu i ricorrenti, in parte patrocinati da un legale, hanno potuto proporre in questa sede tutte le sue censure e sostanziarle. Esse sono di natura a poter essere esaminate dal TPT con piena cognizione. E’ censurato l’interesse pubblico e la proporzionalità della misura pianificatoria, nonché la violazione di norme procedurali fondamentali; il tribunale è chiamato a pronunciarsi sulla base legale, sull'interesse pubblico, sulla proporzionalità, sul rispetto del principio dell'uguaglianza di trattamento, ecc., temi tutti che rientrano nel suo potere cognitivo. E' privo di rilevanza in questo contesto che il tribunale non disponga del sindacato di opportunità. Nelle circostanze può essere lasciato aperto il quesito se davvero il Consiglio di Stato non abbia proceduto agli atti istruttori richiesti, atteso che al vizio è stato semmai posto rimedio in questa sede, garantendo il pieno esercizio di tutti i diritti procedurali e assumendo in contraddittorio le prove ritenute necessarie, tra le quali il sopralluogo del 6 settembre 1995. All’inconveniente della perdita del doppio grado di giurisdizione, si contrappongono esigenze di economia processuale che in questo caso sono chiaramente prevalenti e si oppongono al rinvio della vertenza alla precedente istanza.</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Piano direttore (art. 21 cpv. 1 LPT).</w:t>
      </w:r>
    </w:p>
    <w:p>
      <w:r>
        <w:rPr>
          <w:b/>
        </w:rPr>
        <w:t>E. 5</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6</w:t>
      </w:r>
    </w:p>
    <w:p>
      <w:r>
        <w: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I vincoli in esame dispongono pertanto di una base legale chiara ed esplicita.</w:t>
      </w:r>
    </w:p>
    <w:p>
      <w:r>
        <w:rPr>
          <w:b/>
        </w:rPr>
        <w:t>E. 7</w:t>
      </w:r>
    </w:p>
    <w:p>
      <w:r>
        <w:t>I ricorrenti negano l’esistenza del requisito di pubblico interesse alla strada di PR n. 7; a loro dire, il modestissimo traffico da e per Astano non giustifica la realizzazione della nuova arteria. Diversamente, l’autorità governativa ha giudicato che, indipendentemente dal volume di traffico, l’interesse pubblico della nuova tratta risiede nella possibilità di recuperare alla pedonalizzazione la zona del nucleo tra il Municipio e la “__________ __________ __________ ” e di servire adeguatamente la nuova zona di insediamenti prevista in località __________, a lato della strada.</w:t>
      </w:r>
    </w:p>
    <w:p>
      <w:r>
        <w:rPr>
          <w:b/>
        </w:rPr>
        <w:t>E. 7.1</w:t>
      </w:r>
    </w:p>
    <w:p>
      <w:r>
        <w:t>La ridefinizione del piano del traffico é uno dei tratti salienti del modello urbanistico alla base dell’adeguamento del PR di __________; si rammenta che una ridefinizione e riorganizzazione del piano viario era stata espressamente richiesta dal Consiglio di Stato nella sua precedente risoluzione n. __________. Ora, tra i principali obbiettivi dell’adeguamento figura il recupero e la rivalorizzazione del nucleo storico del villaggio attraverso la sua pedonalizzazione e la realizzazione delle due “strade di aggiramento” in direzione __________ (strada di PR n. 4) e __________ (strada di PR n. 7). Durante il sopralluogo si è infatti potuto rilevare come l’attuale strada attraverso il nucleo, stretta e contorta, sia vistosamente inadeguata a sopportare il traffico motorizzato, specie negli orari di forte affluenza (mattino presto e tardo pomeriggio). Di fondamentale importanza risulta innanzitutto la realizzazione della strada di aggiramento per __________, che permetterà di sgravare il nucleo dell’ingente traffico frontaliero con l’Italia valutato a 2000 veicoli giornalieri; ma anche la nuova circonvallazione per __________, pur non essendo confrontata a volumi di traffico comparabili alla prima, assolve una sua funzione specifica soprattutto in relazione alla futura pedonalizzazione del tratto della vecchia strada tra la “__________ __________ __________ ” e il Municipio. Gli aspetti positivi della contestata opera non possono essere sottaciuti : la completa decongestione dal traffico del nucleo (e non solo parziale come nel caso in cui venisse realizzata la sola circonvallazione per __________) permetterà una drastica riduzione dell’inquinamento fonico e atmosferico, l’eliminazione dei pericoli posti dall’odierna circolazione su un tracciato inadeguato, nonché la rivalutazione del carattere abitativo dell’antica contrada e il recupero di spazi d’aggregazione caratteristici (piazze, strade) a vantaggio dell’intera popolazione del paese e non solo degli abitanti del nucleo. Questi indubbi benefici rispondono senz’altro ad interessi pubblici generalmente riconosciuti.</w:t>
      </w:r>
    </w:p>
    <w:p>
      <w:r>
        <w:rPr>
          <w:b/>
        </w:rPr>
        <w:t>E. 7.2</w:t>
      </w:r>
    </w:p>
    <w:p>
      <w:r>
        <w:t>.   Nella valutazione degli interessi contrapposti vanno però presi in considerazione anche i sacrifici che il progetto della nuova strada comporta per i proprietari dei fondi interessati. Nella fattispecie in esame, il sopralluogo ha permesso di rilevare le significative lesioni che la nuova opera porterebbe alle proprietà dei qui ricorrenti. Il fondo n. __________ (__________-__________) vedrebbe sacrificata alla nuova strada tutto il suo lato est, con riduzione di ca. 1/3 della superficie del giardino, mentre il fondo dei signori __________ sarebbe mutilato degli attuali posteggi siti davanti all’ufficio postale, senza contare il posteggio P4, che andrebbe a occupare l’attuale orto. Ancora più grave risulterebbe il pregiudizio inferto alla proprietà __________ : il suo fondo (n. __________) verrebbe praticamente tagliato in due dalla nuova arteria, a tal punto da mettere seriamente in dubbio la possibilità edificare sullo stesso, se non tramite un’operazione di ricomposizione particellare con altri proprietari del vicinato. Anche la proprietà dei fratelli __________ verrebbe attraversata nel bel mezzo dalla strada, separando di fatto quella che oggi rappresenta una bella realtà di integrazione funzionale tra le diverse attività dei proprietari, che si occupano , rispettivamente, di un ristorante e di una macelleria siti sul fondo n. __________e del vigneto situato sull’attiguo fondo n. __________ (infatti uno é __________, l’altro __________ e il terzo __________); si constata inoltre che la proposta pianificatoria in esame prevede l’eliminazione dei posteggi (in terra battuta) attualmente a servizio della macelleria e dell’esercizio pubblico nonché di un’ampia superficie di pregiato terreno vignato. Sarebbe inoltre riduttivo considerare questa mutilazione dal mero profilo quantitativo della superficie sottratta ai privati; in realtà si tratta di attività che hanno una loro presenza storica in un villaggio di campagna come __________ (si pensi in particolare alla viticoltura); garantiscono posti di lavoro in loco allorquando la maggiorparte della popolazione di questi abitati é costretta a fare il pendolare verso la città e costituiscono non di rado il risultato di attività condotte per generazioni con notevole sacrifico e attaccamento. Molti dubbi solleva peraltro l’impatto paesaggistico della soluzione pianificatoria prospettata; la nuova strada viene infatti ad inserirsi in quella che oggi é una bella e ampia fascia verde caratterizzata da prati e vigneti ben curati che lambiscono il limite esterno del nucleo del villaggio e si interpongono tra questo e una zona residenziale estensiva situata più a est. L’armonia e la tranquillità di tutto questo comparto verrebbe irrimediabilmente sconvolta dalla prospettata opera, senza contare i progetti di edificazione nella cosiddetta “zona espansione nucleo” (cfr. allegato 3.1 delle Norme di attuazione e allegato 1b del Rapporto di pianificazione). Infine, non convince nemmeno la prevista sistemazione della “__________ __________ __________ ”; lo sbocco della nuova strada proprio in corrispondenza di questa piazza contrasta infatti con le intenzioni del Municipio di pedonalizzarla , anche se in sede di sopralluogo si é precisato (verbalmente) che la pedonalizzazione dovrebbe riguardare unicamente la parte bassa della stessa.</w:t>
      </w:r>
    </w:p>
    <w:p>
      <w:r>
        <w:rPr>
          <w:b/>
        </w:rPr>
        <w:t>E. 8</w:t>
      </w:r>
    </w:p>
    <w:p>
      <w:r>
        <w:t>Lo scopo della contestata strada non é tuttavia solo quello di distrarre dal tratto iniziale del nucleo __________ __________ lo (scarso) traffico in direzione di __________; negli intenti del pianificatore, questa “__________ ” é vista infatti anche quale di strumento di promozione urbanistica di una nuova zona edificabile prevista a est del nucleo, la cosiddetta “zona espansione nucleo” in località __________ (cfr. rappresentazione grafica nell’Allegato 3.5 delle Norme di attuazione). Questa argomentazione, che ha contribuito in modo decisivo alla scelta del tracciato della strada, é decisamente contestata dai ricorrenti : a loro modo di vedere, la nuova zona di insediamenti prevista a lato della strada non é giustificata dai dati economici e abitativi, visto il lento aumento della popolazione di __________ negli ultimi decenni e l’attuale disponibilità di unità insediative. Le argomentazioni ricorsuali criticano, in un discorso più ampio, l’intera impostazione del PR di __________ relativamente al dimensionamento delle zone edificabili e alla contenibilità teorica prevista. Occorre pertanto preliminarmente esaminare se in concreto sono dati i presupposti per l’estensione della zona edificabile.</w:t>
      </w:r>
    </w:p>
    <w:p>
      <w:r>
        <w:rPr>
          <w:b/>
        </w:rPr>
        <w:t>E. 8.1</w:t>
      </w:r>
    </w:p>
    <w:p>
      <w:r>
        <w:t>Secondo 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w:t>
      </w:r>
    </w:p>
    <w:p>
      <w:r>
        <w:rPr>
          <w:b/>
        </w:rPr>
        <w:t>E. 8.2</w:t>
      </w:r>
    </w:p>
    <w:p>
      <w:r>
        <w:t>In concreto il criterio dell'idoneità all'edificazione non è contestato né pone particolari problemi. Fa per contro difetto il requisito di una preesistente ampia edificazione, che occorra integrare facendo capo alla superficie in contestazione. Trattasi infatti di una superficie non edificata, una larga fascia di terreni pianeggianti occupata da prati e vigneti, che si interpone con il suo verde tra il nucleo del villaggio (che lambisce a ovest) e una zona residenziale estensiva situata più a est. Contestato dagli insorgenti é però soprattutto il requisito dell’art. 15 lett. b LPT, che vieta l’eccessivo dimensionamento delle zone edificabili. Dalla documentazione presentata dal Comune di __________ risulta che la contenibilità teorica del PR a pieno sfruttamento é stata valutata in ca. 1849 unità insediative (UI) di cui 1006 abitanti, 142 posti-lavoro e 697 posti turisti. La situazione nel 1990 vede invece la presenza di ca. 1185 UI, divise in 555 abitanti, 59 posti-lavoro e 571 posti-turismo; vi é dunque una riserva di ben 664 UI, corrispondente, nei 15 anni di cui all’art. 15 LPT, ad un possibile aumento della popolazione del 81% circa rispetto a quella attuale (cfr. dati contenuti a p. 87 nonché nell’allegato 9 del Rapporto di Pianificazione). Ora l’evoluzione demografica negli ultimi anni rende altamente improbabile l’esigenza di una così elevata ricettività del PR. In effetti, come indicato dall’Annuario statistico Ticinese (ed. 1994), gli abitanti del comune, dopo un lungo declino demografico durato un secolo, sono passati, da un minimo di 402 abitanti nel 1970, a 442 nel 1980, a 547 nel 1990 e a 592 nel 1993, con un aumento percentuale del</w:t>
      </w:r>
    </w:p>
    <w:p>
      <w:r>
        <w:rPr>
          <w:b/>
        </w:rPr>
        <w:t>E. 10</w:t>
      </w:r>
    </w:p>
    <w:p>
      <w:r>
        <w:t>% nel decennio 1970-80 e del 23 % in quello 1980-90 (33% se consideriamo il periodo 1980-1993). Il Rapporto di Pianificazione medesimo, a commento di queste cifre, riportava testualmente che “considerata l’evoluzione della domanda e dell’andamento della popolazione, si costata che solo le aree soggette a piano di quartiere costituiscono un’offerta che va ben oltre al fabbisogno teorico sul medio termine (20 anni) per insediamenti di tipo residenziale”. A pag. 66 del Rapporto si legge invece che “ in relazione al piano delle zone si osserva che se si confrontano i dati di contenibilità con le tendenze e i ritmi di sviluppo le opportunità insediative costituiscono un’offerta che va ben oltre al fabbisogno teorico sul medio termine (10 anni) per insediamenti di tipo residenziale, lavorativo e turistico (sottolineatura nostra)”. In queste circostanze l’aggiunta di nuove zone edificabili a quelle già previste dal precedente PR porta a un sovradimensionamento della zona edificabile che non risponde ai precetti degli art. 1 e in particolare 3 LPT (insediamenti strutturati secondo i bisogni della popolazione) e nel contempo non adempie il requisito dell’art.</w:t>
      </w:r>
    </w:p>
    <w:p>
      <w:r>
        <w:rPr>
          <w:b/>
        </w:rPr>
        <w:t>E. 15</w:t>
      </w:r>
    </w:p>
    <w:p>
      <w:r>
        <w:t>lett. b LPT (terreni prevedibilmente necessari all’edificazione entro i prossimi 15 anni). 9. Nei considerandi precedenti abbiamo voluto esaminare approfonditamente le argomentazioni a favore e contro la nuova strada di aggiramento “PR n. 7”; da quanto esposto risulta che, se non é di per sé criticabile il concetto di strada di aggiramento in quanto strumento per togliere il traffico dal nucleo del villaggio, risulta invece contestabile la scelta del suo tracciato operata in concreto dalle autorità comunali. Da un lato abbiamo infatti evidenziato le notevoli restrizioni alla proprietà privata che questa opera comporterebbe (cfr. cons. 7) e dall’altro la mancanza dei presupposti giustificanti un’ulteriore espansione delle aree edificabili (cfr. cons. 8). In particolare, il venir meno del requisito di necessità della cosiddetta “zona espansione nucleo” ridimensiona decisamente l’interesse a realizzare la strada di aggiramento così come proposta dalle autorità comunali. Si osserva infatti che uno dei motivi che aveva suggerito il tracciato ora in esame era proprio quello di utilizzare la strada di PR n. 7 quale strumento di promozione urbanistica di una nuova area edificabile, in parte situata sui fondi dei ricorrenti (__________e __________ in particolare). A questa argomentazione si aggiunge il fatto, ribadito in sede di sopralluogo, che i sigg. __________ non intendono costruire sui loro terreni e che quindi la denegata istituzione della zona “espansione nucleo” sarebbe destinata, in pratica, a rimanere lettera morta. In simili circostanze, viene a mancare la dimostrazione che il vincolo adottato sia il meno incisivo e il più idoneo a conseguire lo scopo di interesse pubblico prefisso. A questo proposito, il Tribunale non ha motivo di dubitare, né é stato in modo convincente dimostrato il contrario, che la nuova strada possa venire realizzata altrove, a maggior distanza dal nucleo, oppure deviando lo scarso traffico per __________ su strade già esistenti, come d’altronde suggerito dagli insorgenti. Alla luce di queste considerazioni, lo stralcio della strada di PR n. 7 si impone, oltre che per la violazione del principio della proporzionalità, per la mancanza di un interesse pubblico prevalente . La decisione del Consiglio di Stato che ha nondimeno approvato la scelta operata dalle autorità comunali deve pertanto essere annullata su questo punto. 10. Poiché il comune è intervenuto non a difesa di interessi patrimoniali ma nell’esercizio delle sue funzioni pubbliche va esente da spese e tasse di giustizia; dovrà invece corrispondere fr. 1.500.- di ripetibili ai ricorrenti __________ __________, __________ __________, __________ __________, __________ -__________ __________ e __________ __________, assistiti da un avvocato. Per questi motivi, viste le normative alla fattispecie applicabili;. dichiara e pronuncia 1.   I ricorsi sono accolti . Di conseguenza la risoluzione impugnata viene annullata nella misura in cui approva la realizzazione della strada di PR n. 7. 2.   Non si prelevano né tasse né spese di giustizia. Il Comune verserà ai ricorrenti citati sub. pto. 10 fr. 1'500.- a titolo di ripetibili. 3.   Intimazione:                  - Avv. __________ __________, __________ __________ - __________ __________, __________ __________, __________                    __________, ____________________ - Municipio di _________ - Consiglio di Stato, 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