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90.1995.48 vom 10. Juli 1996</w:t>
      </w:r>
    </w:p>
    <w:p>
      <w:r>
        <w:t>TI Tribunale d'appello, 1996-07-10, IT</w:t>
      </w:r>
    </w:p>
    <w:p>
      <w:r>
        <w:rPr>
          <w:b/>
        </w:rPr>
        <w:t xml:space="preserve">Quelle: </w:t>
      </w:r>
      <w:r>
        <w:t>https://mcp.opencaselaw.ch/entscheid/ti_gerichte_90.1995.48</w:t>
      </w:r>
    </w:p>
    <w:p>
      <w:r>
        <w:t>FR: TI_GERICHTE 90.1995.48 du 10 juillet 1996</w:t>
      </w:r>
    </w:p>
    <w:p>
      <w:r>
        <w:t>IT: TI_GERICHTE 90.1995.48 del 10 luglio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modificata dal 15.3.1995). Il disposto va interpretato alla luce dell’art. 33 cpv. 3 lett. a LPT che impone al diritto cantonale di garantire la legittimazione a ricorrere almeno nella stessa misura di quella prevista per il ricorso di diritto amministrativo al Tribunale federale. Ciò premesso, il ricorso, intimato nel termine di 30 giorni di cui all’art. 38 LALPT, é tempestivo. La legittimazione ricorsuale è data a norma dell’art. 38 cpv. 4 lett. c LALPT.</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 (DTF 111 Ia 69-70, consid. 3d, rilievo nostro). Così quando la soluzione può essere una sola, senza possibili alternative (A. Kuttler, Zum Schutz der Gemeindeautonomie in der neueren bundesgerichtlichen Rechtsprechung, in Rep. 1991, pag. 45 seg., in part. pag. 55). Quanto al Tribunale della pianificazione del territorio non dispone, contrariamente al Consiglio di Stato, del sindacato d’opportunità (tranne, come nella fattispecie,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Scopo essenziale della pianificazione è di “assicurare una funzionale utilizzazione del suolo e una razionale abitabilità del territorio” (art. 22 quater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e moleste, di inserire molti spazi verdi e alberati, di creare vie pedonali e ciclabili.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w:t>
      </w:r>
    </w:p>
    <w:p>
      <w:r>
        <w:rPr>
          <w:b/>
        </w:rPr>
        <w:t>E. 4</w:t>
      </w:r>
    </w:p>
    <w:p>
      <w:r>
        <w:t>Nel caso in esame la contestazione verte sull’attribuzione alla zona agricola del mappale della ricorrente, la quale vi si oppone chiedendone l’inserimento in zona delle cave (Ca) per i motivi di cui si è detto in precedenza. A mente di questo Tribunale la censura ricorsuale volta all’annullamento della modifica d’ufficio deve essere respinta. L’esame degli atti processuali e il sopralluogo hanno in effetti evidenziato che l’attribuzione del fondo no. __________ alla zona delle cave non s’inserisce in un disegno pianificatoriamente coerente e razionale. Infatti benché sul mappale è presente un capannone nel quale viene svolta la lavorazione del granito, il fondo medesimo risulta inserito in un vasto comprensorio di notevole pregio agricolo che il Piano Direttore ha assegnato alle superfici per l’avvicendamento colturale (SAC). Ora giusta la Legge cantonale sulla conservazione del territorio agricolo (LTAgr), creata con il preciso intento di salvaguardare il più possibile le aree agricole che negli ultimi decenni in Ticino hanno registrato una drastica diminuzione, i Comuni sono tenuti ad assegnare alla zona agricola dei loro PR il territorio agricolo cantonale rappresentato graficamente nel PD (art. 4 cpv. 1), del quale fanno pure parte, come precisato nell’art. 5 lett. a della medesima legge, le superfici SAC. Ne risulta che un diverso azzonamento di questi comparti è possibile solo per motivi di ordine pianificatorio particolarmente importanti, ovvero per reali bisogni che non permettono un diverso azzonamento. Ciò non risulta essere il caso nella fattispecie concreta. La medesima attività che viene svolta su questo particellare può in effetti essere esercitata anche all’interno della zona industriale prevista a PR, nella quale sussiste senz’altro ancora spazio per nuovi insediamenti. Non esiste del resto nel Comune la necessità di creare nuovi spazi industriali-artigianali, specialmente se concernono singoli particellari sparsi qua e là. Inoltre l’istituzione di una zona cave in questo comparto imporrebbe al Comune la realizzazione di determinate infrastrutture che provocherebbe dei costi non giustificabili dalle circostanze, ritenuto che l’intero comparto circostante è adibito alla zona agricola. Va pertanto concluso che l’interesse pubblico volto da un lato ad un uso parsimonioso del suolo, rispettivamente alla concentrazione delle attività sul territorio e dall’altro alla tutela del paesaggio attraverso il mantenimento di sufficienti superfici coltive idonee all’agricoltura, è in concreto sicuramente preminente rispetto all’interesse privato della ricorrente volto esclusivamente alla possibilità di poter potenziare la loro attività. Interesse quest’ultimo peraltro soddisfatto, ritenuto che recentemente la ricorrente ha ottenuto una licenza edilizia per un ampliamento del suo capannone sul mapple no. __________ , come confermatoci dal patrocinatore con scritto del 5 giugno 1996. Per tutti questi motivi, l’impugnativa dell’insorgente viene respinta e percontro confermata la modifica d’ufficio operata dal Consiglio di Stato. Tasse e spese di giudizio seguono la soccombenza. Visti gli articoli di legge applicabili alla fattispecie, dichiara e pronuncia 1.   Il ricorso é respinto. 2.   Ia ricorrente è condannata al pagamento delle tasse di giudizio e delle spese per complessivi fr. 700.--. 3.   Intimazione:                  - Avv. __________ __________, __________ - Municipio di _________ - Consiglio di Stato, _________ - Sezione pianificazione urbanistica,                                                             _____________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