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90.1995.40 vom 8. November 2002</w:t>
      </w:r>
    </w:p>
    <w:p>
      <w:r>
        <w:t>TI Tribunale d'appello, 2002-11-08, IT</w:t>
      </w:r>
    </w:p>
    <w:p>
      <w:r>
        <w:rPr>
          <w:b/>
        </w:rPr>
        <w:t xml:space="preserve">Quelle: </w:t>
      </w:r>
      <w:r>
        <w:t>https://mcp.opencaselaw.ch/entscheid/ti_gerichte_90.1995.40</w:t>
      </w:r>
    </w:p>
    <w:p>
      <w:r>
        <w:t>FR: TI_GERICHTE 90.1995.40 du 8 novembre 2002</w:t>
      </w:r>
    </w:p>
    <w:p>
      <w:r>
        <w:t>IT: TI_GERICHTE 90.1995.40 del 8 novembre 2002</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chiede la conferma della valutazione effettuata dall'autorità comunale. Egli sostiene che lo stabile al mapp. __________, crollato e successivamente ricostruito nell'ambito di lavori di riattazione, sia meritevole di conservazione per i seguenti motivi: - perché è posto lungo una strada ove si trovano molti altri edifici simili riattati ed inseriti nella categoria "meritevole 1a"; - perché, nel 1990, il municipio ha autorizzato la sostituzione del tetto; - perché, attraverso il suo acquisto, il proprietario ha compiuto un investimento importante.</w:t>
      </w:r>
    </w:p>
    <w:p>
      <w:r>
        <w:rPr>
          <w:b/>
        </w:rPr>
        <w:t>E. 3.3</w:t>
      </w:r>
    </w:p>
    <w:p>
      <w:r>
        <w:t>La valutazione effettuata dal Consiglio di Stato deve essere confermata. Già alla data del rilievo dell'edificio effettuato per conto del comune, lo stesso si presentava come una nuova costruzione (finalizzata ad uso abitativo), caratterizzata da una muratura perimetrale intonacata formata di mattoni di cotto e tetto in coppi. Della costruzione tradizionale che sorgeva in origine non sussiste più alcuna traccia. È quanto ha potuto appurare anche il Tribunale in sede di sopralluogo. Gli argomenti addotti dal ricorrente, non permettono di mutare la conclusione anzidetta. La censura di disparità di trattamento, è peraltro, palesemente infondata. Dalla piantina dei rustici inventariati agli atti, prodotta dal Consiglio di Stato, emerge che su 35 edifici solo 2, ben distanti dalla costruzione del ricorrente, sono stati assegnati alla categoria "meritevole 1a". Gli altri edifici sono stati tutti valutati come " trasformato 3" o "rilevato 4".</w:t>
      </w:r>
    </w:p>
    <w:p>
      <w:r>
        <w:rPr>
          <w:b/>
        </w:rPr>
        <w:t>E. 3.4</w:t>
      </w:r>
    </w:p>
    <w:p>
      <w:r>
        <w:t>Il ricorso deve essere, dunque, respinto. 4.   La tassa di giudizio è posta a carico del ricorrente (art. 28 PAmm). Per questi motivi, visti gli articoli di legge sopra citati, dichiara e pronuncia: 1.   Il ricorso è respinto. 2.   La tassa di giudizio, di fr. 500.-- è posta a carico del ricorrente . 3.   Intimazione a: - __________ __________ __________ __________ rappr da: St. leg. __________ -__________, __________ __________ __________, __________ __________) - Municipio di __________ , __________ __________ di __________ - Consiglio di Stato , Residenza Governativa, __________ __________ - Divisione della pianificazione territoriale , __________ __________. __________ __________, __________ __________ Per il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Valcolla ha classificato la costruzione n. 46, al mapp. __________, nella categoria "meritevole 1a". Approvando la variante il Consiglio di Stato ha invece modificato la valutazione dell'edificio in "rilevato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