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90.1995.3 vom 27. September 1996</w:t>
      </w:r>
    </w:p>
    <w:p>
      <w:r>
        <w:t>TI Tribunale d'appello, 1996-09-27, IT</w:t>
      </w:r>
    </w:p>
    <w:p>
      <w:r>
        <w:rPr>
          <w:b/>
        </w:rPr>
        <w:t xml:space="preserve">Quelle: </w:t>
      </w:r>
      <w:r>
        <w:t>https://mcp.opencaselaw.ch/entscheid/ti_gerichte_90.1995.3</w:t>
      </w:r>
    </w:p>
    <w:p>
      <w:r>
        <w:t>FR: TI_GERICHTE 90.1995.3 du 27 septembre 1996</w:t>
      </w:r>
    </w:p>
    <w:p>
      <w:r>
        <w:t>IT: TI_GERICHTE 90.1995.3 del 27 settembre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Il vincolo in esame dispone pertanto di una base legale chiara ed esplicita.</w:t>
      </w:r>
    </w:p>
    <w:p>
      <w:r>
        <w:rPr>
          <w:b/>
        </w:rPr>
        <w:t>E. 6</w:t>
      </w:r>
    </w:p>
    <w:p>
      <w:r>
        <w:t>Come detto i ricorrenti contestano l’esistenza, in concreto, di un interesse pubblico capace di giustificare la completazione del piano viario con il tratto di contrada in esame. Essi rilevano come di fatto già esiste in loco un accesso adeguato e sufficiente tramite piccole scalinate che scendono dalla strada principale.</w:t>
      </w:r>
    </w:p>
    <w:p>
      <w:r>
        <w:rPr>
          <w:b/>
        </w:rPr>
        <w:t>E. 6.1</w:t>
      </w:r>
    </w:p>
    <w:p>
      <w:r>
        <w:t>L’art. 19 LPT impone ai comuni di provvedere ad un’adeguata urbanizzazione in funzione degli azzonamenti previsti. Questa norma è direttamente applicabile, ossia non abbisogna di una legislazione esecutiva cantonale. La nozione di urbanizzazione è una nozione di diritto federale (DTF 117 Ib 314); il diritto cantonale può esigere altre condizioni, ma non ne può porre di meno severe (cfr. Adelio Scolari, Diritto Amministrativo, Parte Speciale, nota 933, pag. 517). La legislazione ticinese, a questo proposito, si è limitata a trascrivere il diritto federale (cfr. art. 77 cpv. 1 LALPT). Col termine di urbanizzazione s’intende l’insieme delle opere necessarie per rendere una zona idonea ad accogliere degli insediamenti abitativi e produttivi e perciò idonea ad usi edilizi (cfr. Adelio Scolari, op. cit., pag. 516, punto 932); la predisposizioni di accessi confacenti alle zone edificabili costituisce una di queste opere di urbanizzazione necessarie.</w:t>
      </w:r>
    </w:p>
    <w:p>
      <w:r>
        <w:rPr>
          <w:b/>
        </w:rPr>
        <w:t>E. 6.2</w:t>
      </w:r>
    </w:p>
    <w:p>
      <w:r>
        <w:t>.   Nel caso concreto il tratto di strada previsto ha quale scopo di collegare, con un accesso limitato a piccoli mezzi meccanici e da cantiere (larghezza massima 2,5 metri), la strada cantonale con la parte bassa del nucleo di __________, allacciandosi all’esistente contrada che dal fondo dei ricorrenti (n. __________) giunge sino alla piazzetta formata dal f.n. __________ (cfr. planimetria in atti), nonché di creare un passaggio pedonale che dal nucleo conduca ai nuovi posteggi previsti all’entrata dello stesso. Indipendentemente dal fatto che tocchi solo una dozzina di particelle questo nuovo tratto di contrada costituisce un’infrastruttura utile e necessaria, in quanto permette di raccordare adeguatamente alla pubblica via questi fondi già edificati; le dimensioni della carreggiata, ridotte per conformarsi al contesto del nucleo e alla tipologia delle contrade presenti altrove nel villaggio, se non permette l’accesso con veicoli privati, é comunque in grado di soddisfare i più elementari bisogni di mobilità in caso di realizzazione di opere pubbliche (ad. es. macchinari da scavo per le canalizzazioni) e private (ristrutturazione di abitazioni); si é inoltre voluto rendere più agevole lo spostamento pedonale di persone anziane o portatrici di handicap, sinora costrette ad utilizzare le scalinate. In simili circostanze, poco importa quindi se fino ad ora i proprietari hanno potuto comunque raggiungere i propri fondi attraverso le scalinate del nucleo; ai fini di una corretta ed appropriata urbanizzazione, che rispetti i principi pianificatori vigenti, è infatti opportuno che l’ente pubblico provveda a predisporre accessi confacenti alle zone edificabili (DTF 119 Ib 135).</w:t>
      </w:r>
    </w:p>
    <w:p>
      <w:r>
        <w:rPr>
          <w:b/>
        </w:rPr>
        <w:t>E. 7</w:t>
      </w:r>
    </w:p>
    <w:p>
      <w:r>
        <w:t>Al cospetto dell’esistenza di un interesse pubblico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La misura pianificatoria all'esame è certamente atta, e nessuno lo contesta, a permettere la creazione di un accesso stradale per l’area edificata interessata. Il medesimo scopo non potrebbe inoltre essere raggiunto con una limitazione meno incisiva o gravosa per la parte ricorrente: il vincolo, per ragioni legate alla morfologia del suolo, non è infatti facilmente sostituibile con un altro; già si é detto inoltre dell’insufficiente accesso garantito dalle scalinate. Tra il vincolo e il risultato di pubblica utilità ricercato esiste inoltre un rapporto più che ragionevole. In effetti, la contrada, della cui necessità e della cui parziale esistenza già si è detto, è abbastanza stretta (ha una larghezza massima di 2,5 metri) e non dovrebbe incidere eccessivamente sulla proprietà degli insorgenti : essa passa infatti sul confine del loro terreno, a cavallo delle particelle __________ e __________, e non ne pregiudica seriamente l’utilizzazione. Notiamo infine che il Comune ha elaborato nel gennaio 1996 una variante che, disegnando un nuovo tracciato della contrada, esclude l’abbattimento del corpo accessorio della casa d’abitazione __________ inizialmente ipotizzato; in simili circostanze gli inconvenienti a scapito del ricorrente saranno sicuramente modesti e la sua proprietà quasi integralmente tutelata. Anche una certa deturpazione dei luoghi, in sé inevitabile ma non certo nella misura paventata dagli insorgenti, rimane nella fattispecie in un rapporto tutto sommato ragionevole con l’interesse pubblico perseguito. Gli interessi fatti valere (esplicitamente od implicitamente) dai ricorrenti devono quindi senz’altro cedere il passo all’interesse pubblico in gioco.</w:t>
      </w:r>
    </w:p>
    <w:p>
      <w:r>
        <w:rPr>
          <w:b/>
        </w:rPr>
        <w:t>E. 8</w:t>
      </w:r>
    </w:p>
    <w:p>
      <w:r>
        <w:t>Per le pregresse considerazioni il ricorso è respinto. Tasse e spese di giudizio seguono la soccombenza. Per questi motivi, viste le normative alla fattispecie applicabili; dichiara e pronuncia 1.   Il ricorso é respinto . 2.   I ricorrenti sono condannati al pagamento in solido delle tasse di giudizio e delle spese per complessivi fr. 400.-- (quattrocento). 3.   Intimazione:                  - Avv. __________ __________, __________, per i                                              ricorrenti; - Municipio di _____ - Consiglio di Stato, ________ - Sezione pianificazione urbanistica,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