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90.1995.25 vom 12. August 1996</w:t>
      </w:r>
    </w:p>
    <w:p>
      <w:r>
        <w:t>TI Tribunale d'appello, 1996-08-12, IT</w:t>
      </w:r>
    </w:p>
    <w:p>
      <w:r>
        <w:rPr>
          <w:b/>
        </w:rPr>
        <w:t xml:space="preserve">Quelle: </w:t>
      </w:r>
      <w:r>
        <w:t>https://mcp.opencaselaw.ch/entscheid/ti_gerichte_90.1995.25</w:t>
      </w:r>
    </w:p>
    <w:p>
      <w:r>
        <w:t>FR: TI_GERICHTE 90.1995.25 du 12 août 1996</w:t>
      </w:r>
    </w:p>
    <w:p>
      <w:r>
        <w:t>IT: TI_GERICHTE 90.1995.25 del 12 agosto 1996</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dei ricorrenti, già insorti in prima sede, per gli stessi motivi, giusta l’art. 35 LALPT, è data a norma dell’art. 38 cpv. 4 lett. b) LALPT. Presentato nei termini di legge, e quindi tempestivo, il ricorso è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Brissago).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(116 Ia 226 seg. consid. 2a; Alfred Kuttler, Zum Schutz der Gemeindeautonomie in der neueren bundesgerichtlichen Rechtsprechung, in Rep. 1991, pag. 45 seg., in part. 55).</w:t>
      </w:r>
    </w:p>
    <w:p>
      <w:r>
        <w:rPr>
          <w:b/>
        </w:rPr>
        <w:t>E. 3</w:t>
      </w:r>
    </w:p>
    <w:p>
      <w:r>
        <w:t>Nel presente ricorso sono riconoscibili due domande, escludentesi a vicenda senza che sia chiaro quale delle due sia posta come principale dal ricorrente, alle quali si aggiungono altre di minor momento, apparentemente subordinate alle precedenti, esse pure senz’ordine di priorità. Queste in sintesi le censure e domande: a)   contestazione della modifica dell’azzonamento dei part. __________-__________-__________-__________e  quindi domanda che vengano riassegnati alla zona R2a; b)   contestazione della mancata promozione in zona NV del part. __________con la domanda che vi venga inserito alla stessa stregua degli altri fondi. c)   domanda di modifiche parziali dell’azzonamento, quali lo spostamento a monte del limite inferiore della zona NV a nord del vicolo, escludendone la corte sul fondo __________; inclusione delle corti in zona NC; parziale inclusione del part. __________in zona NV. Domina l’intera impugnativa la doglianza che l’azzonamento contestato violi il principio dell’uguaglianza di trattamento e sconfini nell’arbitrio.</w:t>
      </w:r>
    </w:p>
    <w:p>
      <w:r>
        <w:rPr>
          <w:b/>
        </w:rPr>
        <w:t>E. 4</w:t>
      </w:r>
    </w:p>
    <w:p>
      <w:r>
        <w:t>Va subito precisato in argomento che il principio della parità di trattamento svolge una funzione assai relativa in materia di pianificazione del territorio e coincide in larga misura col divieto dell’arbitrio (DTF 117 Ia 436).. “ I PR creano quasi inevitabilmente disuguaglianze ”, avverte Aubert, Traité de droit constitutionnel suisse, Supplément, n. __________. E’ inevitabile che, dovendo suddividere il territorio comunale in zone e quindi tracciare un confine tra una zona e l’altra, il PR dia origine a discriminazioni tra le diverse proprietà. Quel che importa è che la situazione posta in essere dalla pianificazione risponda a criteri oggettivi sostenibili, non dipenda da capricci o da calcoli inconferenti; sia in una parola ragionevole (DTF 118 Ia 162, 116 Ia 195, 115 Ia 389; Schürmann/Hänni Planungs-, Bau- und besonderes Umweltschutzrecht, 3. ed. pag. 43).</w:t>
      </w:r>
    </w:p>
    <w:p>
      <w:r>
        <w:rPr>
          <w:b/>
        </w:rPr>
        <w:t>E. 5</w:t>
      </w:r>
    </w:p>
    <w:p>
      <w:r>
        <w:t>In concreto un’attenta analisi della configurazione del comparto litigioso rivela i seguenti elementi chiave ai fini del giudizio. Innanzitutto è evidente che il vicolo __________ __________ __________ (strada SS di quartiere) fa nella sua parte superiore, per circa due terzi e precisamente fino al lato inferiore dell’omonima chiesetta, da chiara linea divisoria tra due parti ben distinte del comprensorio. Nelle grandi linee abbiamo a sud (a sinistra guardando verso la sovrastante collina) il nucleo tradizionale, a destra (nord) un comparto essenzialmente di natura residenziale. Fin qui giusta l’osservazione del ricorrente che vi sono due zone ben distinte NV e R2a. Ciò non toglie, tuttavia, che sul primo tratto a monte della _________ _____________ __________, e precisamente sui part. __________-__________e __________ (quelli contestati col ricorso in prima istanza), il comparto nord presenti un fronte composto da costruzioni contigue, a filo strada, chiaramente riconducibili alla tipologia del nucleo tradizionale, facenti da pendant alle costruzioni sul lato opposto del vicolo. Il fabbricato sul part. __________è una vecchia stalla, nel frattempo trasformata in abitazione (oggetto dei ripetuti ricorsi in materia edilizia del qui insorgente). A valle e sempre lungo la strada la particella è completata da una piccola corte. E’ lì che si attesta sul fronte nord il limite inferiore della zona NV. Sull’altro fronte è a un dipresso a quell’altezza che cessa il vero nucleo tradizionale. Seguono costruzioni sparse senz’ordine tra pause di giardini e di orti e, a chiudere il discorso, la citata chiesetta di __________ __________. Questa frazione del comparto è attribuita dalla variante a zona di completazione nucleo (NC). Il fondo del ricorrente sul fronte opposto si trova in parte a monte del limite della stretta zona NV a nord del part. __________. Lì sorge la sua casa, dai volumi piuttosto confusi, frutto di ampliamenti di una vecchia costruzione. Il resto del fondo, confinante con la strada, è inedificato. Segue a valle la part. __________sulla quale sorge, alle debite distanze dalla strada, una villa immersa nel suo giardino. In queste circostanze la soluzione che attribuisce alla zona NV solo i fondi su cui sorgono i fabbricati riconoscibilmente di tipo tradizionale, allineati sulla __________ __________ __________, analogamente ai fondi sull’altro lato del vicolo, appare sorretta da motivi plausibili. Benché, come abbiamo sopra rilevato, il comparto a nord della strada abbia nelle grandi linee connotazione e funzione residenziale, la presenza sul tratto superiore della __________ di una realtà edificatoria inconfondibilmente di natura tradizionale giustifica l’eccezione, ma nello stesso tempo la limita là dove la stessa ha fondati motivi di essere. Se non si può veramente tacciare di erronea, come pretende il Consiglio di Stato, la soluzione precedente che attribuiva in zona R2a tutto il comparto a nord della strada, non si può neppure negare che la variante ha serie ragioni dalla sua. Non sarebbe stato ad esempio ragionevole conservare la stalla sul part. __________in piena zona residenziale. Che invece il part. __________ sia mantenuto in zona R2a, come già in precedenza, si spiega con la sua collocazione arretrata per rapporto alla strada, nella parte confinante a nord col part. __________9, là dove sorge, separata dalla fila di fabbricati promossi in zona NV, l’abitazione del ricorrente. Quanto alla parte rimanente del fondo è priva di costruzioni e corrisponde dall’altro lato della strada alla porzione del comparto sud in cui al NV succede la zona NC. Abbiamo peraltro visto che nella sua parte più bassa il comparto nord è già edificato secondo i parametri della zona residenziale (particella __________confinante con la __________). Caratteristica residenziale che, come sopra ricordato, è propria a tutto il rimanente comparto, più a nord. E’ vero che con questa soluzione la simmetria tra i due fronti della strada nel suo tratto superiore è destinata a non ripetersi nella parte a valle allorché a sud si costruirà secondo i parametri della zona di completazione del nucleo (NC) e a nord, invece, con quelli della R2a. Ma il diverso criterio adottato al riguardo dal legislativo comunale non presenta caratteri di irragionevolezza o di scarsa sostenibilità giustificanti l’intervento del giudice. Si veda in argomento le considerazioni a proposito dell’autonomia comunale e del potere cognitivo del TPT. La decisione di ammettere lo sconfinamento del nucleo tradizionale solo per la striscia costituita dai part. __________-__________-__________e __________tiene conto di una realtà preesistente che trova in tal modo una sua ragionevole sistemazione e conferisce all’intero comprensorio un assetto confacente. Nel tratto superiore della __________ _________ ___________ avremo tra i due fronti edificati e il selciato rifatto all’antica che li separa uno scampolo di nucleo tradizionale che malgrado le rifaciture e le inevitabili alterazioni consenta nello stesso tempo la conservazione di una certa tipologia rurale e il ricupero della sostanza edilizia per un uso abitativo conforme alle esigenze moderne. Non è poco. In queste circostanza è vano parlare di disparità di trattamento. Da un lato la soluzione adottata si giustifica, dall’altra si giustifica di non estenderla oltre, inglobandovi totalmente o in parte il fondo del ricorrente. Questo per le censure e domande principali sopra riassunte sotto le lettere a) e b). Le altre domande ricordate sub c) non meritano migliore sorte. Anche se di per sé potrebbe esservi qualche motivo per far coincidere il limite  inferiore della zona NV con quello delle costruzioni (stalla sul fondo __________) anziché estenderlo fino al limite inferiore del fondo stesso (esclusione quindi della piccola corte), si tratta di scelte di dettaglio che il tribunale non potrebbe sindacare senza arrogarsi competenze pianificatorie che non ha. Ciò è tanto più vero a proposito della richiesta di includere le corti in zona NC, modifica che il tribunale non potrebbe intraprendere senza sostituirsi indebitamente all’ente pianificatore. Quanto alla domanda di includere almeno parzialmente in zona NV il fondo __________ ha già trovato risposta, negativa, qui sopra. Per questi motivi, dichiara e pronuncia 1.   Il ricorso è respinto. 2.   Tasse e spese di giustizia per complessivi fr. 500.- sono a carico del ricorrente. 3.   Intimazione:                   - __________ __________, __________ - Municipio di __________ - Consiglio di Stato, 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