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90.1995.146 vom 20. Februar 1997</w:t>
      </w:r>
    </w:p>
    <w:p>
      <w:r>
        <w:t>TI Tribunale d'appello, 1997-02-20, IT</w:t>
      </w:r>
    </w:p>
    <w:p>
      <w:r>
        <w:rPr>
          <w:b/>
        </w:rPr>
        <w:t xml:space="preserve">Quelle: </w:t>
      </w:r>
      <w:r>
        <w:t>https://mcp.opencaselaw.ch/entscheid/ti_gerichte_90.1995.146</w:t>
      </w:r>
    </w:p>
    <w:p>
      <w:r>
        <w:t>FR: TI_GERICHTE 90.1995.146 du 20 février 1997</w:t>
      </w:r>
    </w:p>
    <w:p>
      <w:r>
        <w:t>IT: TI_GERICHTE 90.1995.146 del 20 febbraio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lett. c). In concreto la legittimazione attiva del ricorrente è data a norma dell’art. 38 cpv. 4 lett. b) LALPT. Presentato nei termini di legge, e quindi tempestivo, il ricorso è ricevibile in ordine. 2 .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Nel caso di specie è innanzitutto necessario esaminare la questione generale della contenibilità teorica del PR (art. 15 lett. b LPT). L’idoneità all’edificazione e le altre caratteristiche del comparto territoriale all’esame saranno singolarmente esaminate di seguito. Dal rapporto di pianificazione (p. 9) si evince che la contenibilità teorica del PR indica quale limite 2’884 unità insediative, di cui 1859 abitanti, 559 posti-lavoro e 466 posti-turismo. Ciò equivarrebbe ad una riserva di 544 unità abitative, dal momento che la popolazione residente a fine 1993 era di 1315 abitanti (Annuario statistico ticinese, ed. 1994), corrispondente, nei 10-15 anni di cui all’art. 15 LPT, ad un possibile aumento della popolazione del 41% circa rispetto a quella attuale. Ora, l’evoluzione demografica negli ultimi anni rende tuttavia altamente improbabile l’esigenza di una così elevata ricettività del PR.. Gli abitanti del comune sono infatti passati da 985 nel 1980 a 1257 nel 1990 e a 1352 a fine 1994 (cfr. Annuario statistico ticinese, ed. 1995); nello scorso decennio l’aumento risulta pertanto del 27% (2,5% annuo); se si considerano i dati sino al 1994, l’aumento medio negli ultimi 4 anni non raggiunge il 2 % (per l’esattezza 1,87 %). In effetti, come rilevato dal Rapporto di pianificazione stesso, le previsioni di sviluppo per i prossimi 10-15 anni (ottenute estrapolando i dati del periodo 1981-1991) indicano un massimo di 1’600 abitanti; a questo punto rimarrebbero comunque ancora disponibili 259 unità abitative prima di completare la contenibilità di PR. In tale evenienza, l’aggiunta di ulteriori zone edificabili a quelle previste dal piano precedente porterebbe a un sovra-dimensionamento complessivo delle zone edificabili di PR. Ciò non risponde ai precetti degli art. 1 e in particolare 3 LPT (insediamenti strutturati secondo i bisogni della popolazione) e, nel contempo, è contrario al requisito di cui all’art. 15 lett. b LPT (terreni prevedibilmente necessari all’edificazione entro i prossimi 15 anni). Considerato quanto sopra, il Consiglio di Stato ha giustamente convalidato l’esclusione di gran parte del f.n. __________dalla zona edificabile.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w:t>
      </w:r>
    </w:p>
    <w:p>
      <w:r>
        <w:rPr>
          <w:b/>
        </w:rPr>
        <w:t>E. 7</w:t>
      </w:r>
    </w:p>
    <w:p>
      <w:r>
        <w:t>Deve tuttavia ancora essere verificato, per una completa ponderazione degli interessi in gioco, se esistono altre ragioni pianificatorie a supporto dell’impugnata risoluzione e se il Consiglio di Stato ha rettamente approvato l’inserimento in zona agricola dell’area in contestazione.</w:t>
      </w:r>
    </w:p>
    <w:p>
      <w:r>
        <w:rPr>
          <w:b/>
        </w:rPr>
        <w:t>E. 7.1</w:t>
      </w:r>
    </w:p>
    <w:p>
      <w:r>
        <w:t>Il ricorrente chiede l’inserimento del proprio fondo in zona R2, osservando che il sedime si presta, per natura e posizione, allo sviluppo edilizio. Esso é infatti situato nei pressi del nucleo di Ca’ di Sotto ed é praticamente attorniato da zone già edificate o edificabili, mentre risulta scarsamente idoneo per l’attività agricola. Sottolinea inoltre che nel precedente PR esso era incluso nella “zona residua”, circostanza che ha creato delle aspettative concrete sul suo futuro inserimento in zona edificabile. Questa argomentazione è tuttavia inconferente. Il fondo risulta infatti inedificato e, in ogni caso dall’entrata in vigore della LPT, non è mai stato inserito in una zona edificabile. Non risulta nemmeno che sia completamente urbanizzato. Il vecchio PR lo attribuiva, é vero, alla “zona residua”; questo azzonamento, precedente l’entrata in vigore della LPT e della LALPT, non crea però nessun obbligo di inserimento in zona edificabile. Esso fa invece parte di un contesto paesaggistico assai pregiato: a partire dall’estremità inferiore del nucleo di Gentilino si estende infatti verso oriente una vasta “cintura” verde, composta appunto dalla contestata zona agricola, da una zona di protezione della natura che comprende anche un bel vigneto (f.n. 887,497) e, più oltre, dal complesso sportivo-ricreativo comunale (campo di calcio __________) e alcuni boschetti. Il suo inserimento in zona edificabile urterebbe pertanto i principi della concentrazione delle aree edificabili, incentivando invece l’edificazione sparsa e lo spreco di terreno, senza che ciò sia giustificato dalla preesistenza di un’ampia edificazione.</w:t>
      </w:r>
    </w:p>
    <w:p>
      <w:r>
        <w:rPr>
          <w:b/>
        </w:rPr>
        <w:t>E. 7.2</w:t>
      </w:r>
    </w:p>
    <w:p>
      <w:r>
        <w:t>L’impugnata risoluzione deve essere tutelata anche considerate le norme che presiedono all’istituzione delle zone agricole. Queste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Nel caso concreto, il sopralluogo ha evidenziato che l’inserimento in zona agricola è assolutamente conforme all’art. 16 LPT; l’area all’esame non è infatti né improduttiva né tanto meno sterile (malgrado il perito agricolo Ing. __________ non l’abbia inclusa nelle superfici idonee all’attività agricola del comune). Il terreno é di natura essenzialmente prativa (adatto allo sfalcio quindi); sullo stesso trovano inoltre posto alcuni arbusti. Morfologia e clima (il fondo é molto solatio ed il leggero declivio) lo rendono potenzialmente atto anche alla viticoltura. E’ comunque idoneo all’uso agricolo ed é quindi senz’altro da attribuire alla zona agricola perlomeno a norma dell’art. 16 cpv. 1 lett. b LPT e dell’art. 5 lett. c LTAgr (“altri terreni agricoli sussidiari”).</w:t>
      </w:r>
    </w:p>
    <w:p>
      <w:r>
        <w:rPr>
          <w:b/>
        </w:rPr>
        <w:t>E. 7.3</w:t>
      </w:r>
    </w:p>
    <w:p>
      <w:r>
        <w:t>A fronte di queste considerazioni è da un lato pianificatoria-mente irrilevante che l’attività agricola a __________ sia oramai molto ridotta (non più di 3-4 aziende) e che il perito agricolo Ing. __________ non abbia incluso l’area in questione nelle superfici idonee all’attività agricola del comune (cfr. planimetria in atti) : né la legislazione federale né quella cantonale prescrivono infatti limiti in materia di zone agricole. Dall'altro, e già lo si è detto, l’art. 15 LPT regola il dimensionamento delle zone edificabili; la violazione dei relativi principi è una delle principali ragioni pianificatorie a sostegno dell’impugnata risoluzione. Dal profilo della proporzionalità va infine osservato che una porzione relativamente ampia del fondo, sufficiente in ogni caso per la costruzione di un’abitazione, risulta inclusa nella zona edificabile R2.</w:t>
      </w:r>
    </w:p>
    <w:p>
      <w:r>
        <w:rPr>
          <w:b/>
        </w:rPr>
        <w:t>E. 8</w:t>
      </w:r>
    </w:p>
    <w:p>
      <w:r>
        <w:t>Stando così le cose, il ricorso, nella misura in cui chiede l’estensione della zona edificabile all’intero fondo, deve essere respinto. Tassa di giudizio e spese seguono la soccombenza.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