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90.1994.321 vom 27. Juni 1995</w:t>
      </w:r>
    </w:p>
    <w:p>
      <w:r>
        <w:t>TI Tribunale d'appello, 1995-06-27, IT</w:t>
      </w:r>
    </w:p>
    <w:p>
      <w:r>
        <w:rPr>
          <w:b/>
        </w:rPr>
        <w:t xml:space="preserve">Quelle: </w:t>
      </w:r>
      <w:r>
        <w:t>https://mcp.opencaselaw.ch/entscheid/ti_gerichte_90.1994.321</w:t>
      </w:r>
    </w:p>
    <w:p>
      <w:r>
        <w:t>FR: TI_GERICHTE 90.1994.321 du 27 juin 1995</w:t>
      </w:r>
    </w:p>
    <w:p>
      <w:r>
        <w:t>IT: TI_GERICHTE 90.1994.321 del 27 giugno 1995</w:t>
      </w:r>
    </w:p>
    <w:p>
      <w:pPr>
        <w:pStyle w:val="Heading2"/>
      </w:pPr>
      <w:r>
        <w:t>Regeste</w:t>
      </w:r>
    </w:p>
    <w:p>
      <w:r>
        <w:t>Sentenza o decisione senza scheda</w:t>
      </w:r>
    </w:p>
    <w:p>
      <w:pPr>
        <w:pStyle w:val="Heading2"/>
      </w:pPr>
      <w:r>
        <w:t>Erwägungen</w:t>
      </w:r>
    </w:p>
    <w:p>
      <w:r>
        <w:rPr>
          <w:b/>
        </w:rPr>
        <w:t>E. 1</w:t>
      </w:r>
    </w:p>
    <w:p>
      <w:r>
        <w:t>La competenza del Tribunale è data dagli articoli 26 quater lett. D LOG e 38 LALPT. La ricorrente é legittimata a ricorrere giusta l'art. 38 cpv. 4 lett. b LALPT. Il ricorso, inoltrato nel termine di 30 giorni di cui all'art. 38 cpv. 1 LALPT è tempestivo e dunque ricevibile in ordine.</w:t>
      </w:r>
    </w:p>
    <w:p>
      <w:r>
        <w:rPr>
          <w:b/>
        </w:rPr>
        <w:t>E. 2</w:t>
      </w:r>
    </w:p>
    <w:p>
      <w:r>
        <w:t>La ricorrente rileva che non sono stati eseguiti sufficienti accertamenti. A mente di questo Tribunale questa doglianza è priva di oggettivo riscontro. Nulla consente infatti di ritenere, sulla base degli atti in nostro possesso, che il pianificatore non avesse sufficienti elementi a disposizione per decidere a ragion veduta se istituire il vincolo all’esame.</w:t>
      </w:r>
    </w:p>
    <w:p>
      <w:r>
        <w:rPr>
          <w:b/>
        </w:rPr>
        <w:t>E. 3</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4</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PD (art. 6 segg., 26 cpv. 2 LPT), sulla scorta di un'ampia coordinazione e valutazione (Art. 1 cpv. 1 2a frase, 2 cpv. 1 LPT) e nell'ambito di una procedura ove è garantita protezione giuridica (art. 33 seg. LPT) e partecipazione democratica (art. 4 LPT). Il PR disciplina l'uso ammissibile del suolo (art. 14 segg. LPT): rende vincolante verso i privati detto ordina­mento oltre che il contenuto del PD (art. 21 cpv. 1 LPT).</w:t>
      </w:r>
    </w:p>
    <w:p>
      <w:r>
        <w:rPr>
          <w:b/>
        </w:rPr>
        <w:t>E. 5</w:t>
      </w:r>
    </w:p>
    <w:p>
      <w:r>
        <w:t>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 caso di specie il problema della violazione della garanzia della proprietà quale istituto non si pone. Eventuali pretese espropriative esulano dalle competenze giurisdizionali del TPT. L’azzonamento della superficie in contestazione ed il vincolo cui è sottoposta é infine palesemente sorretto da una base legale (art. 28 cpv. 2 lett. d LALPT). L'oggetto del contendere si riduce pertanto ad una verifica dell'esistenza di un interesse pubblico a sostegno del vincolo e del rispetto del principio della proporzionalità.</w:t>
      </w:r>
    </w:p>
    <w:p>
      <w:r>
        <w:rPr>
          <w:b/>
        </w:rPr>
        <w:t>E. 6</w:t>
      </w:r>
    </w:p>
    <w:p>
      <w:r>
        <w:t>La ricorrente sostiene che in concreto non sussiste il bisogno di mantenere il vincolo per la realizzazione di una scuola materna, ritenuto che il tasso di natalità è in continua diminuzione rispetto alle previsioni contemplate nel PR. A detta dell’autorità comunale invece, avendo la zona di ______________ un carattere prettamente residenziale, l’applicazione di un tasso di natalità piuttosto elevato si giustifica. L’interesse pubblico a sostegno di questo vincolo risulterebbe quindi anche dall’elevata contenibilità prevista dal PR per questo comparto (2354 abitanti a saturazione). Di medesimo avviso è l’autorità governativa.</w:t>
      </w:r>
    </w:p>
    <w:p>
      <w:r>
        <w:rPr>
          <w:b/>
        </w:rPr>
        <w:t>E. 6.1</w:t>
      </w:r>
    </w:p>
    <w:p>
      <w:r>
        <w:t>Nella relazione tecnica accompagnante la revisione del Piano Regolatore Sezioni ______________ e ______________ é, il pianificatore del comune ha rilevato come sia lecito supporre (purtroppo non calcolabile in quanto non sono disponibili rilevamenti statistici distinti per le diverse sezioni) che nei quartieri di ______________ e ______________ il tasso di natalità medio sia superiore a quello dello 0,65% registrato fra gli anni 1979 e 1988 sull’insieme del comune di Lugano e questo essenzialmente per il forte incremento demografico a cui questo comparto è stato soggetto negli ultimi anni. Di conseguenza ha deciso di calcolare il fabbisogno di scuole materne in questa zona tenendo conto di un tasso di natalità dello 0,9 %, nonché di un tasso di affluenza della popolazione dello 2,5 %, il tutto rapportato alla popolazione residente intesa “a saturazione” delle zone edificabili previste dal PR (vedi pagg. 67 e 68 della relazione tecnica relativa al PR sezione ______________ e ______________). Così per le frazioni di ______________ e ______________, che hanno una contenibilità complessiva di 2354 abitanti, è risultata una previsione di 53 bambini (0,9% x 2,5% 2354, vedi relazione tecnica sopraindicata, pag. 68).</w:t>
      </w:r>
    </w:p>
    <w:p>
      <w:r>
        <w:rPr>
          <w:b/>
        </w:rPr>
        <w:t>E. 6.2</w:t>
      </w:r>
    </w:p>
    <w:p>
      <w:r>
        <w:t>A mente di questo Tribunale questa previsione appare fondata. Da verifiche eseguite su dati forniti dall’Ufficio controllo abitanti circa l’evoluzione della popolazione e delle nascite nel comune di Lugano negli ultimi anni, si è potuto in effetti rilevare innanzitutto che dal 1991 le scuole materne (per l’insieme delle sezioni) hanno registrato un aumento di circa 60 allievi. Secondariamente si è constatato che il tasso di natalità non è diminuito, come erroneamente sostenuto dalla ricorrente, ma bensì ha subito un leggero aumento per poi rimanere costante. In effetti per l’anno 1990 si è registrato un tasso di natalità dello 0,66%, per il 1991 dello 0,7% e per gli anni 1992, 1993 e 1994 dello 0,8% (vedi consuntivi Ufficio controllo abitanti). Applicando quest’ultima percentuale alla formula del bisogno sopraccitata e prevista nella relazione tecnica, risulta, per questo settore un potenziale di 47 bambini in età d’asilo. Ciò significa come detto, che la previsione di 53 bambini pronosticata dal pianificatore non è per nulla infondata. Ora calcolando che la media per sezione è di circa 15, 18 allievi, la prevista realizzazione di due nuove sezioni di scuola materna a ______________, che andrebbero ad aggiungersi all’attuale sezione di ______________, risulta giustificata. Si può quindi affermare che in concreto sussiste una necessità e quindi un interesse pubblico alla creazione di una zona di attrezzature pubbliche per la realizzazione di una scuola materna e questo anche per operare a livello pianificatorio dei dimensionamenti prudenziali atti a mantenere una certa riserva delle infrastrutture pubbliche previste. L’interesse di una zona per attrezzature ed edifici pubblici può del resto consistere anche in bisogni futuri della comunità, purché questi siano indicati precisamente e abbiano una buona verosimiglianza di concretizzarsi (DTF 114 Ia 336, DTF 103 Ia 187 con riferimenti, specialmente DTF 102 Ia 369). Che l’esecuzione delle opere prospettate possa richiedere inoltre un lungo lasso di tempo, non è motivo sufficiente per togliere concretezza alla previsione. E neppure osta all’istituzione delle zone AP-EP il fatto che sulle opere da inserirvi si fosse discusso da lungo tempo senza averle mai realizzate.</w:t>
      </w:r>
    </w:p>
    <w:p>
      <w:r>
        <w:rPr>
          <w:b/>
        </w:rPr>
        <w:t>E. 7</w:t>
      </w:r>
    </w:p>
    <w:p>
      <w:r>
        <w:t>Resta comunque da esaminare se il vincolo AP risponde ad un interesse pubblico sufficientemente importante da prevalere su quello della proprietaria a veder attribuito il suo fondo alla zona edificabile. Occorre verificare se il principio della proporzionalità è stato rispettato e segnatamente se il mezzo adottato è idoneo a conseguire lo scopo di interesse pubblico prefisso è il meno incisivo fra quelli possibili e se sussiste un rapporto ragionevole tra il risultato perseguito e la restrizione della proprietà necessaria al suo conseguimento (DTF 111 Ia 98, 113 Ia 137). A mente di questo Tribunale l’ubicazione scelta dal comune è senz’altro idonea alla realizzazione di una scuola materna. Con il sopralluogo si è potuto constatare che il previsto asilo verrebbe a situarsi proprio all’interno della zona residenziale di ______________, in una località particolarmente tranquilla, sita oltretutto nelle immediate vicinanze di una grande area di svago formata da giardini, parchi e giochi per ragazzi (vedi piani allegati), quindi in un comprensorio particolarmente adatto. Dagli atti non è percontro scaturita nessun'altra adeguata alternativa a questa ubicazione. Non è per esempio possibile, per motivi di spazio, prevedere a ______________ un ingrandimento dell’attuale sede. Va comunque rilevato che solamente una parte della particella no. ______________ di proprietà della ricorrente è stata sottoposta al vincolo. Il resto del fondo, sul quale già esiste un’abitazione, è stato infatti assegnato alla zona edificabile. Ciò premesso, risulta che la misura pianificatoria all’esame rispetta il principio della proporzionalità.</w:t>
      </w:r>
    </w:p>
    <w:p>
      <w:r>
        <w:rPr>
          <w:b/>
        </w:rPr>
        <w:t>E. 8</w:t>
      </w:r>
    </w:p>
    <w:p>
      <w:r>
        <w:t>Per finire la ricorrente avanza dubbi circa la fattibilità finanziaria dell’opera prevista. In linea di principio non tocca né compete al TPT pronunciarsi sulla bontà, e tantomeno sull'op­portunità, di scelte finanziarie adottate dai comuni. Il TPT, dato il riserbo impostogli in casi del genere, non può di regola entrare nel merito delle spese per opere pubbliche che l'autorità comunale decide di accollarsi. Il tribunale interviene quando le scelte pianificatorie sono evidentemente insoste­nibili dal punto di vista dei costi. Il cittadino deve infatti essere protetto da scelte arbitrarie, quali sarebbe­ro azzonamenti AP/EP che non potranno avere concre­te utiliz­za­zioni per carenza di mezzi finanziari. In caso contrario vi sarebbe uno sperpero di terreno e un danno alla colletti­vità e in particolare alla persona gravata dal vincolo. In concreto però non v’è nulla che lasci intendere che l’autorità comunale abbia evidentemente sopravvalutato le possibilità finanziarie del comune, e che le opere previste dal PR siano irrealizzabili per meri motivi finanziari. In un comune come Lugano non si può sostenere validamente che i costi per la realizzazione di un asilo, preventivati in Fr. 3’783’000.-, dai quali vanno tolti Fr. 757’000.- per sussidi e contributi, per un totale quindi di Fr. 3’026’000.- (e non Fr. 4’000’000.- come ipotizzato dalla ricorrente) non sono sopportabili. Anche questa censura non merita quindi accoglimento.</w:t>
      </w:r>
    </w:p>
    <w:p>
      <w:r>
        <w:rPr>
          <w:b/>
        </w:rPr>
        <w:t>E. 9</w:t>
      </w:r>
    </w:p>
    <w:p>
      <w:r>
        <w:t>Per le pregresse considerazioni il ricorso deve essere integralmente respinto. Le spese e le tasse seguono la soccombenza. Per questi motivi, visti gli articoli di legge applicabili alla fattispecie, dichiara e pronuncia 1.   Il ricorso é respinto . 2.   La tassa e le spese di giudizio per complessivi fr. 600.-- sono posti a carico della ricorrente. 3.   Intimazione:                  - Avv. ________._____ - Municipio di ________ - Consiglio di Stato, ________ - Sezione pianificazione urbanistica,                                                             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