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90.1994.2 vom 3. März 2003</w:t>
      </w:r>
    </w:p>
    <w:p>
      <w:r>
        <w:t>TI Tribunale d'appello, 2003-03-03, IT</w:t>
      </w:r>
    </w:p>
    <w:p>
      <w:r>
        <w:rPr>
          <w:b/>
        </w:rPr>
        <w:t xml:space="preserve">Quelle: </w:t>
      </w:r>
      <w:r>
        <w:t>https://mcp.opencaselaw.ch/entscheid/ti_gerichte_90.1994.2</w:t>
      </w:r>
    </w:p>
    <w:p>
      <w:r>
        <w:t>FR: TI_GERICHTE 90.1994.2 du 3 mars 2003</w:t>
      </w:r>
    </w:p>
    <w:p>
      <w:r>
        <w:t>IT: TI_GERICHTE 90.1994.2 del 3 marzo 2003</w:t>
      </w:r>
    </w:p>
    <w:p>
      <w:pPr>
        <w:pStyle w:val="Heading2"/>
      </w:pPr>
      <w:r>
        <w:t>Regeste</w:t>
      </w:r>
    </w:p>
    <w:p>
      <w:r>
        <w:t>Sentenza o decisione senza scheda</w:t>
      </w:r>
    </w:p>
    <w:p>
      <w:pPr>
        <w:pStyle w:val="Heading2"/>
      </w:pPr>
      <w:r>
        <w:t>Erwägungen</w:t>
      </w:r>
    </w:p>
    <w:p>
      <w:r>
        <w:rPr>
          <w:b/>
        </w:rPr>
        <w:t>E. 38</w:t>
      </w:r>
    </w:p>
    <w:p>
      <w:r>
        <w:t>cpv. 4 lett. c LALPT). Con questa precisazione il gravame è ricevibile in ordine. 2.   2.1. In Ticino vi è un numero considerevole di edifici (rustici) e impianti che resta a testimonianza del recente passato. Questi edifici e impianti, individuabili su tutto il territorio cantonale, rappresentano sovente componenti essenziali del paesaggio culturale che, in assenza di essi, risulterebbe impoverito. La conservazione degli stessi, pertanto, può essere opportuna anche se sono situati fuori zona edificabile e se si rende necessario il cambiamento della loro destinazione originaria, salvo, naturalmente, i casi in cui la destinazione agricola può essere mantenuta. D'altra parte un cambiamento di destinazione senza presupposti e limiti chiari e stretti può vanificare la funzione originaria di testimonianza di questi edifici e alterare gravemente il valore del paesaggio che li custodisce. Il cambiamento di destinazione diventa, pertanto, una misura che permette, da un lato, la conservazione dell’edificio stesso e, dall'altro, la creazione delle premesse necessarie per la cura delle aree circostanti (cfr. scheda di coordinamento del piano direttore 8.5, nella versione approvata e modificata dal Consiglio federale il 30 gennaio 2002, capitolo "Situazione: problematiche, conflitti"). 2.2. D al punto di vista del diritto federale l'art. 39 OPT, ai cpv. 2 e 3, pone le premesse e le condizioni in base alle quali l'autorità cantonale competente può autorizzare, fuori dalle zone edificabili, il cambiamento di destinazione di detti edifici e impianti (cfr., in precedenza, l'art. 24 cpv. 2 e 3 dell'or abrogata OPT del 2 ottobre 1989, cpv. 2 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 Non è lecito eludere il principio della separazione tra zona edificabile e zona non edificabile e la regolamentazione restrittiva concernente le autorizzazioni eccezionali fuori dalle zone edificabili. L'art. 39 cpv. 2 OPT è, pertanto, correttamente attuato solo quando l'interesse pubblico al mantenimento di un edificio mediante cambiamento dell'utilizzazione permette di scostarsi dal menzionato principio della separazione; d'altro canto, la regolamentazione in esame, nel suo insieme, non può essere applicata in modo così intenso da mettere in discussione il principio stesso della separazione. L'essere degno di protezione e la messa sotto protezione non devono essere, dunque, un pretesto per giustificare una modifica dell'utilizzazione inammissibile giusta l'art. 24 LPT: occorre, pertanto, fissare esigenze sufficientemente elevate ai paesaggi ed agli edifici sia per quanto concerne il riconoscimento della dignità di protezione sia per quanto concerne l'intensità della messa sotto protezione. 2.3. 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 2.4. 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l'assemblea comunale di __________ ha classificato la costruzione n. 11, al mapp. 257a, nella categoria "meritevole 1a". Approvando la variante di piano regolatore il Consiglio di Stato ha, invece, modificato la valutazione in "diroccato 2". Il ricorrente contesta tale valutazione. Egli chiede l'inserimento della sua costruzione nella categoria edifici rustici diroccati ricostruibili e trasformabili in residenza. Egli accenna, in particolare, al fatto di aver ottenuto la licenza edilizia per la sostituzione del tetto dell’edificio nel corso del 1990: sostituzione non realizzata poiché questo era frattanto completamente crollato. 3.2. Esaminati gli atti questo Tribunale ritiene che la valutazione effettuata dal Consiglio di Stato debba essere confermata. Infatti alla data – determinante - del rilievo dell'edificio effettuato per conto del comune, la costruzione, in stato di abbandono, presentava solo una parte dei muri perimetrali (cfr. fotografie riferite al rilievo, agli atti). Trattasi dunque di un diroccato giusta l'art. 29 seconda frase RLALPT: opera in rovina, inutilizzabile, ovvero non degna di conservazione. E’ quanto ammette, in buona sostanza, lo stesso ricorrente. Dal momento inoltre che la costruzione in oggetto non si trova all’interno di un nucleo meritevole di conservazione, essa non può essere assegnata alla categoria “meritevole 1b”, ossia tra i diroccati che possono essere ricostruiti ed adibiti a residenza. 3.3. Il ricorso deve dunque essere respinto. 4.   La tassa di giudizio è posta a carico del ricorrente (art. 28 PAmm). Per questi motivi, visti gli articoli di legge sopra citati, dichiara e pronuncia 1.   Il ricorso è respinto. 2.   La tassa di giudizio di fr. 500.-- è posta a carico di __________ __________. 3.   Intimazione:         - __________ __________ , __________ __________ - __________ di __________ , ____________________ - Consiglio di Stato , Residenza governativa, ____________________ - Divisione della pianificazione territoriale , _____ _. ___________ __, ____ __________ Tribunale della pianificazione del territorio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