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9.2023.70 vom 2. November 2023</w:t>
      </w:r>
    </w:p>
    <w:p>
      <w:r>
        <w:t>TI Tribunale d'appello, 2023-11-02, IT</w:t>
      </w:r>
    </w:p>
    <w:p>
      <w:r>
        <w:rPr>
          <w:b/>
        </w:rPr>
        <w:t xml:space="preserve">Quelle: </w:t>
      </w:r>
      <w:r>
        <w:t>https://mcp.opencaselaw.ch/entscheid/ti_gerichte_9.2023.70</w:t>
      </w:r>
    </w:p>
    <w:p>
      <w:r>
        <w:t>FR: TI_GERICHTE 9.2023.70 du 2 novembre 2023</w:t>
      </w:r>
    </w:p>
    <w:p>
      <w:r>
        <w:t>IT: TI_GERICHTE 9.2023.70 del 2 novembre 2023</w:t>
      </w:r>
    </w:p>
    <w:p>
      <w:pPr>
        <w:pStyle w:val="Heading2"/>
      </w:pPr>
      <w:r>
        <w:t>Regeste</w:t>
      </w:r>
    </w:p>
    <w:p>
      <w:r>
        <w:t>Sostituzione del curatore limitatamente ai compiti amministrativi e di rappresentanza</w:t>
      </w:r>
    </w:p>
    <w:p>
      <w:pPr>
        <w:pStyle w:val="Heading2"/>
      </w:pPr>
      <w:r>
        <w:t>Erwägungen</w:t>
      </w:r>
    </w:p>
    <w:p>
      <w:r>
        <w:rPr>
          <w:b/>
        </w:rPr>
        <w:t>E. 1</w:t>
      </w:r>
    </w:p>
    <w:p>
      <w:r>
        <w:t>Le decisioni delle Autorità regionali di protezione concernenti maggiorenni sono impugnabili mediante reclamo alla Camera di protezione del Tribunale di appello, che decide nella composizione di un giudice unico (art. 450 CC; art. 2 cpv. 2 della Legge sull’organizzazione e la procedura in materia di protezione del minore e dell’adulto [LPMA]; art. 48 lett. f n. 7 e 9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cosi. 3.2.1; v. anche STF del 13 gennaio 2014, in. 5A_843/2013, cosi. 4.1 e 4.2, e Messaggio, pag. 6465-6466).</w:t>
      </w:r>
    </w:p>
    <w:p>
      <w:r>
        <w:rPr>
          <w:b/>
        </w:rPr>
        <w:t>E. 2.3</w:t>
      </w:r>
    </w:p>
    <w:p>
      <w:r>
        <w:t>; Vogel, in: BSK ZGB I, 6a ed. 2018, ad art. 421-424 CC n. 22; Langenegger, in: Erwachsenenschutzrecht, 2a ed. 2015, ad art 421-425 CC N. 7; Meier, Droit de la protection de l’adulte, 2022, N. 1147 nota 191; Steinauer/Fountoulakis, Droit des personnes physiques et de la protection de l’adulte, 2014, N. 1267). L’autorità di protezione ingaggia la propria responsabilità ex art. 454 CC se non destituisce il curatore quando ha conoscenza delle inadempienze ricomperatigli e le condizioni dell’art. 423 CC sono riunite (Meier, Droit de la protection de l’adulte, 2022, N. 1147). I criteri per valutare se il curatore sia ancora idoneo ai compiti conferitigli sono gli stessi da prendere in considerazione al momento della nomina (Langenegger, in: Erwachsenenschutzrecht, 2a ed. 2015, ad art 421-425 CC N. 7). Non tutte le inadempienze nell’espletamento del mandato giustificano tuttavia la dimissione del curatore: la messa in pericolo degli interessi della persona da proteggere deve infatti raggiungere un certo grado di gravità (COPMA, Guide pratique Protection de l’adulte, N. 8.9-8.10). Possono in particolare essere presi in considerazioni i motivi esplicitamente evocati nel diritto previgente, ovvero quando il curatore si rende colpevole di una grave negligenza o di un abuso delle sue attribuzioni, commette un’azione tale da dimostrarlo indegno della fiducia in lui riposta od è diventato insolvente (cfr. art. 445 vCC; cfr. Vogel, in: BSK ZGB I, ad art. 421-424 CC n. 24; COPMA, Droit de la protection de l’adulte, Guide Pratique, n. 8.10 pag. 229). Si tratta di motivazioni legate alla fiducia verso l’amministrazione e la funzione pubblica, come ad esempio il dovere di fedeltà e lealtà nelle relazioni di servizio di diritto pubblico: questi motivi valgono indipendentemente dalla questione relativa all’attitudine del mandatario di esercitare il mandato in questione (sentenza CDP dell’11 gennaio 2022, inc. 9.2021.112, consid. 6.1).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(Rosch, CommFam Protection de l’adulte, ad art. 423 CC, N. 8).</w:t>
      </w:r>
    </w:p>
    <w:p>
      <w:r>
        <w:rPr>
          <w:b/>
        </w:rPr>
        <w:t>E. 3</w:t>
      </w:r>
    </w:p>
    <w:p>
      <w:r>
        <w:t>Con la decisione impugnata l’Autorità di protezione ha conferito, a norma dell’art. 402 CC, il mandato curatelare in favore di RE 1 a più persone, __________ e __________, ripartendone i compiti. Con il suo gravame la reclamante chiede invece che __________ sia confermato quale suo unico curatore.</w:t>
      </w:r>
    </w:p>
    <w:p>
      <w:r>
        <w:rPr>
          <w:b/>
        </w:rPr>
        <w:t>E. 3.1</w:t>
      </w:r>
    </w:p>
    <w:p>
      <w:r>
        <w:t>Ai sensi dell’art. 400 cpv. 1 CC l’Autorità di protezione nomina quale curatore una persona fisica che sia idonea, dal profilo personale e delle competenze, ad adempiere i compiti previsti, che disponga del tempo necessario e svolga personalmente i suoi compiti. In circostanze particolari possono essere nominati più curatori. Può segnatamente essere nominato un privato, uno specialista impiegato da un servizio sociale privato o pubblico o un curatore professionale. La disposizione rinuncia di proposito a stabilire una gerarchia tra i diversi gruppi di persone che entrano in considerazione per l’ufficio e che non possono comunque essere chiaramente delimitati visto che la condizione decisiva per la nomina di una persona è la sua idoneità (Messaggio concernente la modifica del Codice civile svizzero, Protezione degli adulti, diritto delle persone e diritto della filiazione, del 28 giugno 2006, FF 2006 6391 pag. 6438). La persona nominata dovrà essere in misura di identificare e valutare il bisogno di aiuto della persona interessata, di prestare, lei stessa o tramite terzi specializzati, l’aiuto adeguato, con l’obbiettivo di preservare e sviluppare l’autonomia del curatelato, e di gestire le risorse personali e materiali di quest’ultimo, rappresentandolo quando necessario e previsto dal mandato (Meier, Droit de la protection de l’adulte, 2022, N 941; BSK ZGB I-Reusser, art. 400 N 11 s.).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(STF 5A_221/2007 del 28 agosto 2007 consid. 3).</w:t>
      </w:r>
    </w:p>
    <w:p>
      <w:r>
        <w:rPr>
          <w:b/>
        </w:rPr>
        <w:t>E. 3.2</w:t>
      </w:r>
    </w:p>
    <w:p>
      <w:r>
        <w:t>Ai sensi dell’art. 402 cpv. 1 CC, in circostanze particolari l’autorità di protezione può conferire la curatela a più persone: in tal caso essa stabilisce se la funzione va esercitata congiuntamente o ne ripartisce i compiti fra i singoli curatori. L’esercizio congiunto di una curatela è disposto soltanto con l’accordo delle persone alle quali essa è conferita (art. 402 cpv. 2 CC). Questo s’impone in quanto l’esercizio in comune di un mandato esige la disponibilità e la capacità di collaborare strettamente (CommFam Protection de l’adulte, Häfeli, ad art. 402 CC n. 4).</w:t>
      </w:r>
    </w:p>
    <w:p>
      <w:r>
        <w:rPr>
          <w:b/>
        </w:rPr>
        <w:t>E. 3.3</w:t>
      </w:r>
    </w:p>
    <w:p>
      <w:r>
        <w:t>Giusta l’art. 423 CC, l’Autorità di protezione dimette il curatore se non è più idoneo ai compiti conferitigli (n. 1) o se sussiste un altro motivo grave (n. 2). Se il curatore cessa di adempiere le condizioni previste all’art. 400 cpv. 1 CC per la sua nomina, sussiste un motivo grave che ne causa la dimissione (Messaggio concernente la modifica del Codice civile svizzero, Protezione degli adulti, diritto delle persone e diritto della filiazione, del 28 giugno 2006, FF 2006 6391 pag. 6449). Altri motivi gravi ai sensi dell’art. 423 cpv.1 n. 2 CC possono consistere in delle negligenze gravi e ripetute, in degli abusi nell’esercizio delle funzioni di curatore o nella rottura insormontabile del rapporto di fiducia (Steinauer/Fountoulakis, Droit des personnes physiques et de la protection de l’adulte, 2014, N 1267). La norma permette la dimissione del curatore indipendentemente (e persino contro) la sua volontà: materialmente, più che una dimissione, si tratta di una revoca o di una destituzione (Meier, Droit de la protection de l’adulte, 2022, N. 1147). Determinante non è la colpa del curatore o l’insorgenza di un danno, bensì la messa in pericolo astratta degli interessi della persona da proteggere (STF 5A_391/2016 del 4 ottobre 2016 consid. 5.2.1; sentenza CDP del 1° settembre 2020, inc. 9.2020.22, consid.</w:t>
      </w:r>
    </w:p>
    <w:p>
      <w:r>
        <w:rPr>
          <w:b/>
        </w:rPr>
        <w:t>E. 3.4</w:t>
      </w:r>
    </w:p>
    <w:p>
      <w:r>
        <w:t>Nella fattispecie in esame, la suddivisione della curatela decisa dall’Autorità di protezione appare una soluzione necessaria e ragionevole. Le diverse criticità attestate nello svolgimento delle pratiche di sua competenza hanno dimostrato l’inidoneità di __________ ad adempiere ai compiti relativi agli aspetti amministrativi e finanziari del mandato curatelare in favore di RE 1. Ne discende che la fiducia in lui risposta dall’Ente pubblico per espletare questi delicati compiti è insormontabilmente venuta a mancare. Tuttavia, preso atto dell’inopportunità di una completa destituzione del curatore, certificata dal medico psichiatra della reclamante, l’Autorità di protezione ha prestato attenzione a questo aspetto e ha optato per un compromesso assegnando i compiti legati alla rappresentanza e all’amministrazione del patrimonio della curatelata a __________ e lasciando a __________ le mansioni relative al benessere sociale a alla salute della reclamante. Ad ogni modo, la reclamante non adduce alcun mezzo probatorio rilevante per dimostrare l’erroneità del giudizio dell’Autorità di protezione sul venir meno dell’idoneità di __________ a svolgere il ruolo di curatore amministrativo, ma si limita a ribadire genericamente la sua soddisfazione riguardo l’espletamento del mandato curatelare in suo favore. Inoltre, contrariamente a quanto allegato dal curatore nelle sue osservazioni, non sembra plausibile che la stabilità psico-fisica di RE 1 possa essere pregiudicata dalla suddivisione della curatela pronunciata nella decisione litigiosa, proprio perché tale soluzione permette all’interessata di continuare a fare riferimento a __________ per quanto attiene agli aspetti della curatela che non hanno connotazione finanziaria. Il gravame della reclamante va pertanto respinto e la decisione impugnata confermata.</w:t>
      </w:r>
    </w:p>
    <w:p>
      <w:r>
        <w:rPr>
          <w:b/>
        </w:rPr>
        <w:t>E. 4</w:t>
      </w:r>
    </w:p>
    <w:p>
      <w:r>
        <w:t>Gli oneri giudiziari seguono la soccombenza della reclamante (art. 47 e 49 LPAmm).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