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9.2023.28 vom 25. September 2023</w:t>
      </w:r>
    </w:p>
    <w:p>
      <w:r>
        <w:t>TI Tribunale d'appello, 2023-09-25, IT</w:t>
      </w:r>
    </w:p>
    <w:p>
      <w:r>
        <w:rPr>
          <w:b/>
        </w:rPr>
        <w:t xml:space="preserve">Quelle: </w:t>
      </w:r>
      <w:r>
        <w:t>https://mcp.opencaselaw.ch/entscheid/ti_gerichte_9.2023.28</w:t>
      </w:r>
    </w:p>
    <w:p>
      <w:r>
        <w:t>FR: TI_GERICHTE 9.2023.28 du 25 septembre 2023</w:t>
      </w:r>
    </w:p>
    <w:p>
      <w:r>
        <w:t>IT: TI_GERICHTE 9.2023.28 del 25 settembre 2023</w:t>
      </w:r>
    </w:p>
    <w:p>
      <w:pPr>
        <w:pStyle w:val="Heading2"/>
      </w:pPr>
      <w:r>
        <w:t>Regeste</w:t>
      </w:r>
    </w:p>
    <w:p>
      <w:r>
        <w:t>Sostituzione del curatore</w:t>
      </w:r>
    </w:p>
    <w:p>
      <w:pPr>
        <w:pStyle w:val="Heading2"/>
      </w:pPr>
      <w:r>
        <w:t>Erwägungen</w:t>
      </w:r>
    </w:p>
    <w:p>
      <w:r>
        <w:rPr>
          <w:b/>
        </w:rPr>
        <w:t>E. 28</w:t>
      </w:r>
    </w:p>
    <w:p>
      <w:r>
        <w:t>agosto 2007 consid. 3). 3.3.1. Per individuare l’esistenza di un conflitto di interessi occorre dunque valutare il rapporto esistente tra il curatore e la persona interessata, ovvero ricercare l’esistenza di un potenziale rischio che il primo, nella gestione degli affari del curatelato, dia la priorità ai suoi interessi (conflitto diretto) o agli interessi di un terzo legato al curatore medesimo (conflitto indiretto). Nella fattispecie, contrariamente a quanto lamentato dal reclamante, che si è peraltro limitato ad esporre argomentazioni generiche al limite della ricevibilità, sulla scorta delle risultanze dell’incarto non è possibile ritenere alcun conflitto di interessi, e neppure un rischio astratto di tale conflitto, nella nomina dell’avv. CURA 1 quale curatrice di PI 1. Non risulta rilevante al riguardo il fatto che la stessa ricopra anche il ruolo di curatrice della moglie di quest’ultimo. Al contrario, il rapporto coniugale agevola lo svolgimento del mandato, considerato in particolare il fatto che le uniche entrate familiari sono quelle del marito. Non vi sono quindi i presupposti per ritenere che la curatrice nominata dall’Autorità di protezione non possa serenamente adempiere il suo mandato a causa della collisione tra gli interessi del curatelato e i suoi interessi personali o quelli di un terzo a lei legato. 3.4. Per i motivi sopraesposti, il reclamo di RE 1 merita di essere respinto. 4. Gli oneri giudiziari seguono la soccombenza del reclamante (art. 47 e 49 LPAmm).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