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9.2022.93 vom 12. Mai 2023</w:t>
      </w:r>
    </w:p>
    <w:p>
      <w:r>
        <w:t>TI Tribunale d'appello, 2023-05-12, IT</w:t>
      </w:r>
    </w:p>
    <w:p>
      <w:r>
        <w:rPr>
          <w:b/>
        </w:rPr>
        <w:t xml:space="preserve">Quelle: </w:t>
      </w:r>
      <w:r>
        <w:t>https://mcp.opencaselaw.ch/entscheid/ti_gerichte_9.2022.93</w:t>
      </w:r>
    </w:p>
    <w:p>
      <w:r>
        <w:t>FR: TI_GERICHTE 9.2022.93 du 12 mai 2023</w:t>
      </w:r>
    </w:p>
    <w:p>
      <w:r>
        <w:t>IT: TI_GERICHTE 9.2022.93 del 12 maggio 2023</w:t>
      </w:r>
    </w:p>
    <w:p>
      <w:pPr>
        <w:pStyle w:val="Heading2"/>
      </w:pPr>
      <w:r>
        <w:t>Regeste</w:t>
      </w:r>
    </w:p>
    <w:p>
      <w:r>
        <w:t>Scelta del curatore di rappresentanza: nel caso in esame il curatore non ha dato il proprio consenso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in esame l’Autorità di protezione ha istituito in favore di RE 1 una curatela di rappresentanza con amministrazione dei beni, nominando quale curatrice l’avv. __________.</w:t>
      </w:r>
    </w:p>
    <w:p>
      <w:r>
        <w:rPr>
          <w:b/>
        </w:rPr>
        <w:t>E. 3</w:t>
      </w:r>
    </w:p>
    <w:p>
      <w:r>
        <w:t>Con il proprio gravame RE 1 contesta la decisione nella misura in cui è prevista la nomina dell’avv. __________, chiedendo che venga tenuto conto del mandato precauzionale 9 marzo 2022 e che in sostanza venga nominato quale suo curatore il figlio __________.</w:t>
      </w:r>
    </w:p>
    <w:p>
      <w:r>
        <w:rPr>
          <w:b/>
        </w:rPr>
        <w:t>E. 4</w:t>
      </w:r>
    </w:p>
    <w:p>
      <w:r>
        <w:t>Le condizioni per l’istituzione di una misura di curatela sono indicate all’art. 390 CC. Giusta l’art. 400 CC l’Autorità di protezione degli adulti nomina quale curatore una persona fisica che sia idonea, dal profilo personale e delle competenze, ad adempiere i compiti previsti, disponga del tempo necessario e svolga personalmente i suoi compiti, con possibilità in circostanze particolari di nominare più curatori (cpv. 1); la persona nominata deve investirsi della curatela, salvo che motivi gravi vi si oppongano (cpv. 2).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(COPMA, Guide pratique Protection de l’adulte, pag. 181, n. 6.7 ss; CommFam Protection de l’adulte, HÄFELI, N. 10 ad art. 400 CC).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(STF 5A_221/2007 del 28 agosto 2007 consid. 3).</w:t>
      </w:r>
    </w:p>
    <w:p>
      <w:r>
        <w:rPr>
          <w:b/>
        </w:rPr>
        <w:t>E. 4.1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 La considerazione dei desideri dell’interessato consente di rispettare il suo diritto all’autodeterminazione. Questo diritto di proposta è limitato dall’eventuale non idoneità della persona proposta o dalla sua non disponibilità a investirsi dell’ufficio (Messaggio concernente la modifica del CCS del 28 giugno 2006, FF 2006 6391, art. 401 pag. 6439). La questione a sapere se su questo tema occorre sentire l’interessato oralmente o se una presa di posizione scritta può essere sufficiente deve essere esaminata alla base delle circostanze del caso concreto. La giurisprudenza ammette che una violazione dell’art. 401 CC possa essere sanata in seconda istanza, dinnanzi ad un’autorità che dispone di un pieno potere di cognizione, che si estende anche al controllo dell’opportunità (art. 450a cpv. 1 cifra 3 CC; STF del 3 dicembre 2013, inc. 5A_540/2013 consid. 3.1.1, non pubblicato in DTF 140 III 1; in relazione al previgente art. 381 vCC, v. STF del 17 gennaio 2003, inc. 5P.394/2002 consid. 3.1.2).</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6</w:t>
      </w:r>
    </w:p>
    <w:p>
      <w:r>
        <w:t>Nella fattispecie, come già rilevato, contestata è unicamente la scelta del curatore operata dall’Autorità di protezione (disp. 2) e non già la misura in quanto tale (disp. 1). Non è infatti messa in discussione l’istituzione di una misura di protezione in suo favore. RE 1 si limita a chiedere che, al posto dell’avv. __________, quale suo curatore venga nominato il figlio __________, così come da lei previsto nel mandato precauzionale agli atti (cfr.</w:t>
      </w:r>
    </w:p>
    <w:p>
      <w:r>
        <w:rPr>
          <w:b/>
        </w:rPr>
        <w:t>E. 6.1</w:t>
      </w:r>
    </w:p>
    <w:p>
      <w:r>
        <w:t>Come risulta dagli atti, contrariamente a quanto auspicato da RE 1 in sede di reclamo, e indipendentemente dalla validità formale e dai contenuti del mandato precauzionale, concretamente __________ non ha mai espressamente dichiarato di assumere il mandato. Benché abbia inizialmente dato la propria disponibilità a impegnarsi nel ruolo di curatore della madre (cfr. udienza 29 settembre 2022 e 30 gennaio 2023), dichiarando di volerci riflettere e di “ prendere in considerazione la questione ”, ma di fatto non ha poi dato alcun seguito, benché più volte sollecitato dall’Autorità di prime cure. Ritenuto che né l’interessata, né l’Autorità di prime cure hanno potuto confermare la reale disponibilità del figlio, la decisione impugnata resiste alle generiche critiche di RE 1 e va pertanto confermata. E’ pertanto a giusta ragione che l’Autorità di protezione ha confermato la nomina dell’avv. __________ quale suo curatrice di rappresentanza, la cui idoneità non è messa in discussione dalla reclamante. 7. Il reclamo, nella misura della sua ricevibilità, va di conseguenza respinto. Tasse e spese di giustizia seguirebbero la soccombenza. Nel caso in esame si giustifica tuttavia eccezionalmente di prescindere dal loro prelievo.</w:t>
      </w:r>
    </w:p>
    <w:p>
      <w:r>
        <w:rPr>
          <w:b/>
        </w:rPr>
        <w:t>E. 9</w:t>
      </w:r>
    </w:p>
    <w:p>
      <w:r>
        <w:t>marzo 2022) che ha trasmesso. L’esame della validità formale del mandato precauzionale non è invece oggetto della presente.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