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9.2022.92 vom 27. Oktober 2022</w:t>
      </w:r>
    </w:p>
    <w:p>
      <w:r>
        <w:t>TI Tribunale d'appello, 2022-10-27, IT</w:t>
      </w:r>
    </w:p>
    <w:p>
      <w:r>
        <w:rPr>
          <w:b/>
        </w:rPr>
        <w:t xml:space="preserve">Quelle: </w:t>
      </w:r>
      <w:r>
        <w:t>https://mcp.opencaselaw.ch/entscheid/ti_gerichte_9.2022.92</w:t>
      </w:r>
    </w:p>
    <w:p>
      <w:r>
        <w:t>FR: TI_GERICHTE 9.2022.92 du 27 octobre 2022</w:t>
      </w:r>
    </w:p>
    <w:p>
      <w:r>
        <w:t>IT: TI_GERICHTE 9.2022.92 del 27 ottobre 2022</w:t>
      </w:r>
    </w:p>
    <w:p>
      <w:pPr>
        <w:pStyle w:val="Heading2"/>
      </w:pPr>
      <w:r>
        <w:t>Regeste</w:t>
      </w:r>
    </w:p>
    <w:p>
      <w:r>
        <w:t>Sostituzione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RE 1 chiede nel proprio reclamo di nominare quale curatrice la signora __________, persona di sua fiducia, invece di __________ dell’Ufficio dell’aiuto e della protezione, designato dall’Autorità di protezione, in quanto afferma che quest’ultimo non le “ piace come persona ”, così come la segretaria dell’Autorità di protezione, __________. Essa lamenta inoltre di non poter prelevare denaro dal suo conto, desiderando poter svolgere autonomamente i pagamenti.</w:t>
      </w:r>
    </w:p>
    <w:p>
      <w:r>
        <w:rPr>
          <w:b/>
        </w:rPr>
        <w:t>E. 3</w:t>
      </w:r>
    </w:p>
    <w:p>
      <w:r>
        <w:t>L’Autorità di protezione ritiene che la richiesta di RE 1 non possa essere accolta, in quanto la persona da lei suggerita per la sostituzione della curatrice in carica non è considerata idonea. L’Autorità di protezione chiarisce tuttavia di essere disposta a rivedere la propria decisione, annullandola e mantenendo quale curatrice __________, precisando inoltre che ci sarebbe stato un malinteso sulla possibilità della curatelata di prelevare dal suo conto bancario, che non sarebbe modificata dalla decisione impugnata rispetto al passato.</w:t>
      </w:r>
    </w:p>
    <w:p>
      <w:r>
        <w:rPr>
          <w:b/>
        </w:rPr>
        <w:t>E. 4</w:t>
      </w:r>
    </w:p>
    <w:p>
      <w:r>
        <w:t>Ai sensi dell’art. 400 cpv. 1 CC, l’autorità di protezione nomina quale curatore una persona fisica che sia idonea, dal profilo personale e delle competenze, ad adempiere i compiti previsti, che disponga del tempo necessario e svolga personalmente i suoi compiti. Può segnatamente essere nominato un privato, uno specialista impiegato da un servizio sociale privato o pubblico o un curatore professionale. La disposizione rinuncia di proposito a stabilire una gerarchia tra i diversi gruppi di persone che entrano in considerazione per tale funzione e che non possono comunque essere chiaramente delimitati visto che la condizione decisiva per la nomina di una persona è la sua idoneità ( Messaggio concernente la modifica del Codice civile svizzero [Protezione degli adulti, diritto delle persone e diritto della filiazione] del 28 giugno 2006, FF 2006 6391 pag. 6438). Ai sensi dell’art. 402 cpv. 1 CC, in circostanze particolari l’ 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Questo s’impone in quanto l’esercizio in comune di un mandato esige la disponibilità e la capacità di collaborare strettamente (CommFam Protection de l’adulte, Häfeli ., ad art. 402 CC n. 4).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 COPMA, Guide pratique Protection de l’adulte, pag. 181, n. 6.7 ss) .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w:t>
      </w:r>
    </w:p>
    <w:p>
      <w:r>
        <w:rPr>
          <w:b/>
        </w:rPr>
        <w:t>E. 4.1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w:t>
      </w:r>
    </w:p>
    <w:p>
      <w:r>
        <w:rPr>
          <w:b/>
        </w:rPr>
        <w:t>E. 4.2</w:t>
      </w:r>
    </w:p>
    <w:p>
      <w:r>
        <w:t>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Protection de l’adulte, Häfeli , ad art. 401 CC n. 4-5). Non esiste peraltro neppure il diritto di preferenza dei parenti ai sensi dell’art. 380 v CC (BSK Erwachsenenschutz, Reusser, ad art. 401 CC n. 2; CommFam Protection de l’adulte, Häfeli , ad art. 401 CC n. 2).</w:t>
      </w:r>
    </w:p>
    <w:p>
      <w:r>
        <w:rPr>
          <w:b/>
        </w:rPr>
        <w:t>E. 5</w:t>
      </w:r>
    </w:p>
    <w:p>
      <w:r>
        <w:t>In virtù dell’art. 423 CC l’Autorità di protezione degli adulti dimette il curatore se non è più idoneo ai compiti conferitigli o se sussiste un altro motivo grave. Se il curatore cessa di adempiere le condizioni previste dall’art. 400 cpv. 1 CC per la sua nomina, sussiste un motivo grave che ne causa la dimissione (Messaggio concernente la modifica del CC, protezione degli adulti, diritto delle persone e diritto di filiazione del 28 giugno 2006, FF 2006 pag. 6391). L’art. 423 CC permette la dimissione del curatore indipendentemente (e persino contro) la sua volontà. Come per l’art. 445 al. 2 v CC, determinante è la messa in pericolo degli interessi della persona da proteggere e non invece il fatto che ci sia stato o meno un danno. La procedura è regolata dagli art. 443 ss CC, che comprendono anche i provvedimenti cautelari (art. 445 CC) come la sospensione provvisoria del mandatario. I mandatari devono partecipare alla procedura, in particolare nel rispetto del diritto di essere informati e del diritto di essere sentiti (art. 29 Cost., 447 ss CC) (CommFam Protection de l’adulte, Rosch, ad art. 423 CC n. 5.). Il mandatario può essere dimesso se non è più idoneo ai compiti conferitigli o se sussiste un altro motivo grave. Predominante è l’interesse della persona da proteggere. In particolare vanno prese in considerazioni le motivazioni legate alla fiducia verso l’amministrazione e la funzione pubblica, come ad esempio il dovere di fedeltà e lealtà nelle relazioni di servizio di diritto pubblico (insolvenza, abuso delle sue attribuzioni o commissione di un’azione che dimostra che l’interessato è indegno della fiducia in lui riposta, cfr. art. 445 v CC). Questi motivi valgono indipendentemente dalla questione relativa all’attitudine del mandatario di esercitare il mandato.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(CommFam Protection de l’adulte, Rosch , ad art. 423 CC, N. 8).</w:t>
      </w:r>
    </w:p>
    <w:p>
      <w:r>
        <w:rPr>
          <w:b/>
        </w:rPr>
        <w:t>E. 6</w:t>
      </w:r>
    </w:p>
    <w:p>
      <w:r>
        <w:t>In concreto, oggetto di impugnazione è la sostituzione della curatrice __________ con __________, entrambi occupati presso l’Ufficio dell’aiuto e della protezione ed entrambi soggetti a critiche da parte di RE 1, che chiede invece la nomina di una conoscente, giudicata inidonea alla carica dall’Autorità di protezione. La reclamante non ha replicato a quanto indicato dall’Autorità di protezione circa la disponibilità ad annullare la sostituzione oggetto della decisione (tornando alla situazione precedente) ribadendo soltanto che il curatore designato “ non le piace ”. Gli scarsi argomenti della reclamante, la cui ricevibilità del reclamo potrebbe anche essere posta in discussione per insufficienza di motivazione, non possono essere condivisi da questo giudice.</w:t>
      </w:r>
    </w:p>
    <w:p>
      <w:r>
        <w:rPr>
          <w:b/>
        </w:rPr>
        <w:t>E. 6.1</w:t>
      </w:r>
    </w:p>
    <w:p>
      <w:r>
        <w:t>Preso atto delle spiegazioni dell’Autorità di primo grado e ricordato che ne lla scelta del curatore essa non è vincolata dalle preferenze dell’interessata e dispone di un potere di apprezzamento ampio, l ’annullamento della decisione impugnata n on può essere ritenuta nell’interesse di RE 1, fermo restando che l’Autorità di prime cure ha comunque manifestato la disponibilità ad eventualmente rinominare la precedente curatrice, se sarà preferita dall’interessata. Si evidenzia infatti che la scelta del curatore e il controllo del suo operato spetta esclusivamente all’Autorità di protezione, che può tenere conto i desideri del curatelato a condizione che questi non siano contrari ai suoi interessi. In concreto, l’Autorità di prime cure ha stabilito l’inidoneità della persona che RE 1 avrebbe preferito in carica quale curatrice, confermando un operatore dell’Ufficio dell’aiuto e della protezione e precisando di sostituire la precedente curatrice esclusivamente per andare incontro alle esigenze dell’interessata. Si è anche mostrata disponibile a rinominarla, nel caso quest’ultima la preferisse al nuovo designato. Procedura che non si presta a critiche e va quindi confermata da questo giudice.</w:t>
      </w:r>
    </w:p>
    <w:p>
      <w:r>
        <w:rPr>
          <w:b/>
        </w:rPr>
        <w:t>E. 6.2</w:t>
      </w:r>
    </w:p>
    <w:p>
      <w:r>
        <w:t>Quanto invece alla contestazione della reclamante relativa alla sua possibilità di prelevare denaro, occorre rilevare che al dispositivo 4 della decisione impugnata l’Autorità di protezione ha definito che “ l’interessata è privata del diritto di accedere ai conti bancari o postali ” evidenziando che “ il curatore mette a disposizione un conto “spillatico” sul quale verrà versato l’adeguato importo che l’interessata potrà gestire liberamente ”. Nelle proprie osservazioni al reclamo, ha poi precisato che RE 1 avrebbe mal compreso la decisione, in quanto essa “ può, come prima, accedere al proprio conto spillatico ”. In effetti, nella decisione 9 gennaio 2018 di istituzione della curatela generale (mai contestata dall’interessata) era indicato chiaramente al dispositivo 1.1. che “ la curatela generale comprende tutto quanto concerne la cura della persona, degli interessi patrimoniali e delle relazioni giuridiche ” e al dispositivo 1.2. che “ l’interessata è conseguentemente privata dell’esercizio dei diritti civili ”. In altri termini, nella decisione impugnata l’Autorità di protezione ha quindi confermato la privazione dell’accesso ai conti bancari o postali già disposta in forma generica nella decisione di istituzione della curatela generale, precisando che viene messo a disposizione un “ conto spillatico ” al quale RE 1 può accedere liberamente, come avviene d’abitudine in questo tipo di mandato. Di conseguenza, anche in questo caso, la lamentela della reclamante va respinta per quanto ricevibile, in quanto il dispositivo 4 della decisione impugnata non ha sostanzialmente modificato una situazione già definita in una decisione da tempo regolarmente cresciuta in giudicato.</w:t>
      </w:r>
    </w:p>
    <w:p>
      <w:r>
        <w:rPr>
          <w:b/>
        </w:rPr>
        <w:t>E. 7</w:t>
      </w:r>
    </w:p>
    <w:p>
      <w:r>
        <w:t>Visto quanto precede, nella misura della sua ricevibilità, il reclamo va respinto e la decisione impugnata integralmente confermata. Gli oneri processuali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