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9.2022.13 vom 6. Dezember 2022</w:t>
      </w:r>
    </w:p>
    <w:p>
      <w:r>
        <w:t>TI Tribunale d'appello, 2022-12-06, IT</w:t>
      </w:r>
    </w:p>
    <w:p>
      <w:r>
        <w:rPr>
          <w:b/>
        </w:rPr>
        <w:t xml:space="preserve">Quelle: </w:t>
      </w:r>
      <w:r>
        <w:t>https://mcp.opencaselaw.ch/entscheid/ti_gerichte_9.2022.13</w:t>
      </w:r>
    </w:p>
    <w:p>
      <w:r>
        <w:t>FR: TI_GERICHTE 9.2022.13 du 6 décembre 2022</w:t>
      </w:r>
    </w:p>
    <w:p>
      <w:r>
        <w:t>IT: TI_GERICHTE 9.2022.13 del 6 dicembre 2022</w:t>
      </w:r>
    </w:p>
    <w:p>
      <w:pPr>
        <w:pStyle w:val="Heading2"/>
      </w:pPr>
      <w:r>
        <w:t>Regeste</w:t>
      </w:r>
    </w:p>
    <w:p>
      <w:r>
        <w:t>Relazioni personali con terze persone (nonni); diritto di consultare gli atti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Secondo l’art. 274a CCS in “circostanze straordinarie” il diritto alle relazioni personali può essere accordato anche ad altre persone, segnatamente ai parenti, in quanto ciò serva al bene del figlio. “Circostanze straordinarie” sono – tra l’altro – cambiamenti famigliari che non permettono più a tali parenti di mantenere un rapporto instauratosi con il minorenne, come per esempio in caso di scioglimento della comunione domestica dei famigliari ( Meier/Stettler, D roit de la filiation, 6. Edizione, pag. 631; Hegnauer in: Berner Kommentar, edizione 1991, n. 19 ad art. 274a CC). Diversamente dalle relazioni personali tra genitore e figlio, infatti, le relazioni tra i terzi e il figlio devono orientarsi esclusivamente al bene di quest’ultimo; l’interesse dei terzi che desiderano intrattenere relazioni personali con il minorenne importa poco ( Hegnauer in: Berner Kommentar, op. cit., n. 15 ad art. 274a CC; analogamente: I CCA, sentenza inc. 11.2004.116 del 26 marzo 2007, consid. 5). In concreto solo l'interesse del figlio è determinante, non quello della persona con la quale costui può o deve intrattenere delle relazioni personali (FamPra.ch 1/2004, pag. 159). Il diritto di visita dei terzi deve pertanto servire positivamente al bene del minore, segnatamente deve contribuire concretamente al suo benessere. Non è sufficiente che la relazione non gli causi un pregiudizio. Il diritto alle relazioni personali sarà di principio giudicato nell’interesse del minore qualora il medesimo (capace di discernimento rispetto a tale questione) esprime chiaramente il bisogno di restare in contatto con la persona in questione, la quale gli procura o rafforza un sentimento di protezione, ciò tuttavia a condizione che non vi siano da temere degli effetti pregiudizievoli ( Meier/Stettler, D roit de la filiation,</w:t>
      </w:r>
    </w:p>
    <w:p>
      <w:r>
        <w:rPr>
          <w:b/>
        </w:rPr>
        <w:t>E. 6</w:t>
      </w:r>
    </w:p>
    <w:p>
      <w:r>
        <w:t>Edizione, pag. 631). 3.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le prove finanche in modo inabituale, sollecitare rapporti, di propria iniziativa, anche se tale modo di procedere non è previsto dal diritto di procedura cantonale (FamKomm Erwachsenenschutz, Steck , art. 446 CC n. 11; DTF 128 III 411, consid. 3.2.1). 4. A differenza della situazione vigente al momento dell’emanazione della decisione impugnata, PI 1 non si trova più all’istituto __________, essendo il collocamento diventato inattuabile a causa delle aggravate condizioni psicologiche del minore e l’impossibilità della struttura di gestirlo e curarlo adeguatamente. Il 28 ottobre 2022 il minore è quindi stato trasferito presso la Struttura __________. Occorre anzitutto rilevare che il recente trasferimento del minore non incide sulla fattispecie e sulle domande che la scrivente Camera è stata chiamata a giudicare a seguito del reclamo qui in esame. 4.1. Sebbene non esplicitamente citati nella decisione impugnata, dagli atti si evince che gli elementi probatori principali alla base della risoluzione sono i pareri espressi, da un lato, dal medico psichiatra curante di PI 1, il Dott. __________ del Servizio medico-psicologico, __________, e dall’altro lato, dalla direttrice dell’istituto di collocamento. Difatti, già la riposta della tutrice del 21 ottobre 2021 (con la quale ha negato la riattivazione dei diritti di visita con la nonna) era sorretta da quanto “ discusso e valutato ” con la rete di protezione del minore, segnatamente dal parere del medico curante contenuto nel certificato medico 6 maggio 2021, così come dalle informazioni fornite dalla direzione della struttura d’accoglienza. In sede di osservazioni</w:t>
      </w:r>
    </w:p>
    <w:p>
      <w:r>
        <w:rPr>
          <w:b/>
        </w:rPr>
        <w:t>E. 6.1</w:t>
      </w:r>
    </w:p>
    <w:p>
      <w:r>
        <w:t>Come visto sopra, la sola qualifica della reclamante quale nonna del minore interessato, non le garantisce un diritto incondizionato di accesso agli atti delle procedure di protezione a favore del suo nipote.</w:t>
      </w:r>
    </w:p>
    <w:p>
      <w:r>
        <w:rPr>
          <w:b/>
        </w:rPr>
        <w:t>E. 6.2</w:t>
      </w:r>
    </w:p>
    <w:p>
      <w:r>
        <w:t>Gli atti sui quali si basa la decisione impugnata e i quali la reclamante chiede di poter consultare, ossia il rapporto medico 6 maggio 2021 del Dott. __________ e gli eventuali rapporti dell’istituto di collocamento, costituiscono documenti allestiti ai fini della procedura di protezione a favore di PI 1 avente per oggetto il collocamento del minore. La nonna paterna non è parte di quest’ultimo procedimento e non può quindi, senza la qualifica di parte, beneficiare di un diritto di accesso agli atti. RE 1 ha acquisito qualità di parte unicamente nell’ambito della procedura relativa alla sua istanza tendente alla concessione di diritti di visita con PI 1. Ciò le concederebbe, di principio, il diritto di consultare gli atti limitatamente a quest’ultima procedura. Tuttavia, data la natura confidenziale del certificato medico, l’Autorità di protezione ha ritenuto di limitare l’accesso a tale documento da parte della nonna paterna. A giusto titolo. Si tratta di un documento medico nel quale sono riportate informazioni dettagliate inerente lo stato di salute psico-fisico del minore, le quali devono essere trattate in modo assolutamente riservato. L’interesse del minore alla riservatezza dei suoi documenti medici è indubbiamente preponderante rispetto all’interesse della reclamante di potere esercitare le relazioni personali con il nipote. A maggior ragione trattandosi di una sospensione provvisoria delle relazioni personali in attesa del raggiungimento di una nuova stabilità emotiva del ragazzo. Lo stesso discorso vale per i rapporti redatti dall’istituto, atti che contengono altrettanto informazioni confidenziali inerente l’andamento del collocamento e lo sviluppo della situazione del minore, ragione per cui (al fine di non pregiudicare dei progetti terapeutici in corso o quelli previsti), anch’essi vanno protetti limitandone il diritto di consultazione. Va sottolineato che il contenuto essenziale dei documenti citati e alla base della decisione impugnata è comunque stato condiviso con la reclamante, permettendo a quest’ultima di prendere atto e conoscenza degli elementi rilevanti alla base della decisione impugnata. 7. Alla luce di quanto precede, le censure della reclamante risultano insufficienti e infondate. Il reclamo è quindi destinato all’insuccesso. 8. La reclamante ha postulato di essere messa a beneficio dell’assistenza giudiziaria e del gratuito patrocinio. Ai sensi dell’art. 117 CPC, applicabile su rinvio dell’art. 13 LAG, ha diritto al gratuito patrocinio chiunque sia sprovvisto dei mezzi necessari (lett. a), la cui domanda non appaia priva di probabilità di successo (lett. b). Essendo nel caso concreto adempiute le predette condizioni, la domanda di ammissione al beneficio dell’assistenza giudiziaria e del gratuito patrocinio del reclamante va quindi accolta, con l’esenzione dalle spese processuali, mentre lo Stato provvederà alla retribuzione della patrocinatrice della reclamante.</w:t>
      </w:r>
    </w:p>
    <w:p>
      <w:r>
        <w:rPr>
          <w:b/>
        </w:rPr>
        <w:t>E. 11</w:t>
      </w:r>
    </w:p>
    <w:p>
      <w:r>
        <w:t>febbraio 2022, la tutrice ha poi presentato un rapporto medico aggiornato dal Dott. __________, datato il 10 febbraio 2022, nel quale il medico ha ribadito il suo disaccordo ad una ripresa delle relazioni personali con i famigliari, e ciò “ al fine di preservare maggiormente il compenso clinico e limitare il grado di compromissione del minore che si trova ancora in età evolutiva ”. Lo specialista ha infatti evidenziato come “ il minore presenta uno stato clinico di labile compenso, i contatti con i famigliari (genitori, fratelli, nonni), per quanto connotati da una nota affettiva positiva, hanno generato e generano nel minore un aumento delle tensioni interne e del disagio, con ripresa di agiti disfunzionali (fughe, vandalismi, aggressività, atteggiamenti inadeguati) ”. Alla luce del chiaro avviso medico, rievocato e aggiornato in data 10 febbraio 2022 nel corso della presente procedura di reclamo, la scrivente Camera non può che condividere la posizione dell’Autorità di prime cure e confermare che le relazioni personali tra PI 1 e la nonna paterna, così come con gli altri famigliari, erano, in tal momento, da mantenere sospese. La necessità terapeutica indicata dal Dott. __________ prevale ovviamente sia sull’interesse della reclamante di poter ristabilire i contatti con il nipote, sia sull’opinione espressa dal minore (soltanto per la prima volta) in occasione della sua udienza in data 24 ottobre 2022. Il fatto che PI 1 si fosse presentato presso il domicilio della nonna paterna durante la sua fuga dall’istituto in data 1° febbraio 2022 non è sufficiente per dimostrare un vero e proprio bisogno personale del minore di intrattenere dei contatti regolari con la nonna, visto che egli era comunque già fuggito dall’istituto in altre occasioni, avendo in tali circostanze cercato riparo presso il domicilio del padre o di amici. Come evidenziato nelle osservazioni 11 febbraio 2022 della tutrice, secondo la rete professionale che segue PI 1 “ nei momenti critici e di frustrazione, PI 1 tende ad allontanarsi senza autorizzazione dalla struttura alla ricerca di “radici” nella sua rete di conoscenze (dalla famiglia, agli amici, a conoscenti figure professionali che frequenta o non) ”. Del resto appare del tutto indicato lasciare al minore il tempo necessario per ambientarsi presso la nuova struttura e per aderire alle nuove forme terapeutiche offertegli, senza che egli corra il rischio di essere destabilizzato da rapporti e incontri (prematuri) con i famigliari che, come esposto dalla tutrice in sede di osservazioni 11 febbraio 2022 “ generano nel minore un aumento delle tensioni interne e del disagio, con ripresa di agiti disfunzionali ”. È quindi senz’altro corretta la decisione di mantenere sospese le relazioni personali con i famigliari, almeno fino a quando i medici curanti e gli operatori della rete di protezione potranno certificare che una ripresa delle visite possa contribuire al bene del minore. In tal senso, si osserva che la reclamante ha esposto in maniera alquanto generica i motivi per i quali una riattivazione dei diritti di visita con PI 1 gioverebbe al bene di quest’ultimo, essendosi limitata a rilevare che già in passato le visite erano concesse regolarmente, e che sarebbe in generale da presumere che rapporti con i nonni servirebbero al bene dei figli. Tali argomenti non possono essere considerati preponderanti rispetto ai bisogni terapeutici sostenuti dal Dott. __________, condivisi anche dalla tutrice. Infine, pur volendo considerare ai fini del presente giudizio le più attuali circostanze che hanno comportato all’ulteriore trasferimento di PI 1, queste costituirebbero casomai solo un’ulteriore prova dell’estrema fragilità psichica di PI 1 e della sua necessità di ritrovare una stabilità emotiva senza interferenze esterne dei famigliari. 4.2. La tesi sostenuta dalla reclamante, secondo cui la presenza della nonna nella vita di PI 1 potrebbe “ infondere al minore un senso di protezione ”, appare effettivamente fondata ed è stata anche condivisa dall’Autorità di protezione e dalla tutrice, che hanno entrambe riconosciuto esplicitamente l’opportunità di riattivare le visite tra PI 1 e la nonna paterna non appena la situazione psichica del minore permetterà un riavvicinamento. Infatti, già dal tenore della decisione impugnata, emerge la natura provvisoria del diniego alla riattivazione delle visite (cfr. pag. 2 della decisione impugnata: “la scrivente Autorità di protezione ritiene opportuno respingere, almeno in questo momento , l’istanza della nonna paterna di PI 1 ” ). Inoltre, nelle osservazioni 4 marzo 2022 dell’Autorità di protezione e in quelle della tutrice del 11 febbraio 2022 è stato esplicitamente indicato che le relazioni personali tra PI 1 e la nonna sarebbero da ripristinare “ qualora le premesse tornino ad essere date e un riavvicinamento alla nonna tornasse ad essere nell’interesse di PI 1 ”. A tal proposito va ricordato che secondo l’art. 313 CC, in caso di modificazione delle circostanze, l’Autorità di protezione è tenuta ad adattare le misure di protezione del figlio alla nuova situazione. 5. Nello svolgimento della loro funzione, le Autorità di protezione trattano informazioni di natura confidenziale relative alle persone coinvolte. Queste sono protette dal segreto di funzione dall’art. 320 CP e dalle disposizioni cantonali sulla protezione dei dati. Giusta l’art. 451 cpv. 1 CC l’Autorità di protezione è sottoposta anche all’obbligo di discrezione espressamente previsto sia per l’Autorità (art. 451 cpv. 1 CC) sia per i curatori (art. 413 cpv. 2 CC), nei confronti di tutti i terzi, ossia le amministrazioni, le autorità giudiziarie e pure i privati; l’obbligo vale anche nei confronti dei parenti, salvo se la persona interessata abbia acconsentito a che le informazioni che la concernono siano trasmesse o se il richiedente ha un diritto preponderante alla trasmissione delle informazioni o, infine, se i parenti hanno un diritto di consultare gli atti siccome parti alla procedura (CommFam Protection de l’adulte, Cottier/Hassler , ad. art. 451 N 10). In altri termini, i membri della famiglia non hanno un diritto incondizionato di consultare l’incarto e nemmeno di essere informati in merito alla gestione della misura. L’obbligo di discrezione porta su tutti i dati personali relativi alla persona; fanno parte della sfera privata e segreta anche i dati relativi alla situazione finanziaria (CommFam Protection de l’adulte, Cottier/Hassler , ad. art. 451 N 12). L’art. 451 cpv. 1 CC menziona espressamente gli interessi preponderanti come eccezioni all’obbligo di mantenere il segreto. Le eccezioni al principio del segreto possono avere una base legale espressa (art. 449c, 451 cpv. 2, 453, 449b CC) oppure fondarsi sul consenso dell’interessato (CommFam Protection del l’adulte, op. cit., ad. art. 451 N. 26 e 27). L’Autorità, per determinare in che misura può essere derogato all’obbligo di discrezione, procede ad una valutazione degli interessi e questo anche se una disposizione legale o il consenso del diretto interessato l’autorizzano, di principio, a comunicare i dati (CommFam, op. cit., ad. art. 451 N. 24). 5.1. Il diritto di consultare gli atti (cfr. titolo marginale dell'art. 449 b CC) concretizza il diritto di essere sentito garantito dalla costituzione (art. 29 Cost). Ai sensi dell'art. 449 b CC, le persone che partecipano al procedimento hanno diritto di consultare gli atti, salvo che interessi preponderanti vi si oppongano (cpv. 1). L’atto la cui consultazione è stata negata a una persona che partecipa al procedimento può essere utilizzato soltanto qualora l’autorità gliene abbia comunicato oralmente o per scritto il contenuto essenziale per il caso (cpv. 2). 5.2. La persona interessata da una decisione dell’Autorità è sempre parte al procedimento di primo grado (CommFam, Protection de l'adulte, Steck , n. 7 ad art. 445 CC, su rinvio N. 8 ad art. 449b CC; BSK Erwachsenenschutz, Auer/Marti , ad. art. 449b N. 18 segg.). Tra le parti al procedimento figurano, oltre all’interessato, le persone vicine all’interessato ai sensi della legge (cfr. art. 450 cpv. 2 CC), le persone di fiducia (art. 443 CC), il curatore e in alcuni casi anche i terzi (nel caso in cui dimostrino un interesse giuridicamente protetto; BSK Erwachsenenschutz, Auer/Marti , ad. art. 449b N. 22). Il diritto procedurale di consultare gli atti appartiene alle parti che partecipano alla procedura, di principio, senza riserve e senza che debbano giustificare un interesse particolare (DTF 129 I 249; CommFam Protection de l'adulte, Steck , N. 8 art. 449 b CC). 5.3. Il diritto di consultare gli atti si riferisce unicamente alla relativa procedura pendente e non concede un accesso agli atti di altre autorità. Questo diritto va distinto dal dovere di consegnare gli atti ex art. 448 cpv. 4 CC, il quale interessa i rapporti tra l’autorità di protezione e altre autorità amministrative e giudiziarie. Il diritto di consultare gli atti può estendersi anche agli atti di un procedimento già concluso, tuttavia l’art. 449b CC regola soltanto il diritto di accesso agli atti nell’ambito di una procedura pendente (BSK Erw.Schutz – Auer/Marti , in art. 449b n. 4). Si deve ammettere l’esistenza di un interesse degno di protezione quando la consultazione è motivata dall’esistenza di una procedura in corso. Trattandosi di una procedura già conclusa, in questo caso la persona che presenta la richiesta deve giustificare un interesse particolare (DTF 122 I 153 in Jdt 1998 I consid. 6a p. 197). Il diritto a consultare gli atti può in ogni caso essere rifiutato interamente o in parte quando un interesse pubblico o degli interessi preponderanti di terzi vi si oppongano; questi possono consistere in interessi privati preponderanti al mantenimento del segreto, o in altri interessi, anche pubblici, segnatamente ricavati dalla legge sulla protezione dei dati (STF 5A_1000/2017 del 15 giugno 2018 consid. 4.2; CommFam Protection de l'adulte, Steck , N. 11 art. 449b CC). (CommFam, Steck , N. 10 art. 449b CC; BSK Erw.Schutz, Auer/Marti , N. 28 ad. art. 449b). Nella valutazione degli interessi alla quale deve procedere, l’Autorità deve applicare il principio di proporzionalità. Nella misura del possibile, il diritto di consultare gli atti non dovrebbe essere totalmente rifiutato, ma solamente limitato da un punto di vista fattuale, temporale o personale (STF 5A_1000/2017; STF 5A_750/2015). 6. In concreto, la persona interessata dalla procedura di protezione nell’ambito della quale si tratta di garantire l’obbligo di discrezione legale ai sensi dell’art. 451 CC è il minore PI 1. Sia l’Autorità di protezione che la tutrice (ex art. 413 cpv. 2 CC), così come l’UAP, sottostanno a tale obbligo.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