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9.2021.152 vom 12. Juli 2022</w:t>
      </w:r>
    </w:p>
    <w:p>
      <w:r>
        <w:t>TI Tribunale d'appello, 2022-07-12, IT</w:t>
      </w:r>
    </w:p>
    <w:p>
      <w:r>
        <w:rPr>
          <w:b/>
        </w:rPr>
        <w:t xml:space="preserve">Quelle: </w:t>
      </w:r>
      <w:r>
        <w:t>https://mcp.opencaselaw.ch/entscheid/ti_gerichte_9.2021.152</w:t>
      </w:r>
    </w:p>
    <w:p>
      <w:r>
        <w:t>FR: TI_GERICHTE 9.2021.152 du 12 juillet 2022</w:t>
      </w:r>
    </w:p>
    <w:p>
      <w:r>
        <w:t>IT: TI_GERICHTE 9.2021.152 del 12 luglio 2022</w:t>
      </w:r>
    </w:p>
    <w:p>
      <w:pPr>
        <w:pStyle w:val="Heading2"/>
      </w:pPr>
      <w:r>
        <w:t>Regeste</w:t>
      </w:r>
    </w:p>
    <w:p>
      <w:r>
        <w:t>Privazione del diritto di determinare il luogo di dimora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ordinato il collocamento di PI 1 nella Comunità socio-terapeutica __________, a far tempo dal 7 settembre 2021, privando la madre del diritto di determinare il luogo di dimora del figlio. Contestualmente sono state sospese le relazioni personali e telefoniche, in seguito ripristinate nella successiva decisione del 22 ottobre 2021 (non contestata) e da un’ulteriore decisione emanata il 4 gennaio 2022, con la quale è stata delegata la loro organizzazione agli operatori dell’istituto dove è stato collocato il minore. L’Autorità di protezione, nella propria duplica, chiede quindi la conferma della decisione impugnata, nella misura in cui la procedura non sia stralciata dai ruoli. La madre nel suo reclamo contesta di fatto esclusivamente la revoca del suo diritto di determinare il luogo di dimora del figlio, dichiarandosi invece d’accordo sul collocamento in istituto di PI 1. Quanto all’opposizione alla sospensione delle relazioni personali, risulta superata dalle predette decisioni dell’Autorità di protezione del 22 ottobre 2021 e del 4 gennaio 2022.</w:t>
      </w:r>
    </w:p>
    <w:p>
      <w:r>
        <w:rPr>
          <w:b/>
        </w:rPr>
        <w:t>E. 3</w:t>
      </w:r>
    </w:p>
    <w:p>
      <w:r>
        <w:t>Giusta l'art. 307 cpv. 1 CC, se il bene del figlio è minacciato e i genitori non vi rimediano o non sono in grado di rimediarvi, l'autorità di protezione ordina le misure opportune per la protezione del figlio. L'art. 310 cpv. 1 CC (privazione del diritto di determinare il luogo di dimora del figlio) prevede che quando il figlio non possa essere altrimenti sottratto al pericolo, l’autorità di protezione dei minori deve toglierlo alla custodia dei genitori, o dei terzi presso cui egli si trova, e ricoverarlo convenientemente. Ai sensi dell’art. 445 cpv. 1 CC, l’autorità di protezione prende, ad istanza di una persona che partecipa al procedimento o d’ufficio, tutti i provvedimenti cautelari necessari per la durata del procedimento; può in particolare ordinare a titolo cautelare una misura di protezione.</w:t>
      </w:r>
    </w:p>
    <w:p>
      <w:r>
        <w:rPr>
          <w:b/>
        </w:rPr>
        <w:t>E. 3.1</w:t>
      </w:r>
    </w:p>
    <w:p>
      <w:r>
        <w:t>Il pericolo giustificante il ritiro del diritto di determinare il luogo di dimora del figlio deve risiedere nel fatto che quest’ultimo non sia così protetto o sostenuto nell'ambiente dei genitori o del genitore come richiederebbe il suo sviluppo fisico,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 la misura non è una sanzione nei confronti dei genitori ma persegue quale unico scopo la tutela del bene del minore. Le circostanze al momento del ritiro sono determinanti: occorre essere restrittivi nel loro apprezzamento, un ritiro essendo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(STF 5A_562/2019 del 9 ottobre 2019, consid. 2.1; STF 5A_724/2015 del 2 giugno 2016 consid. 6.3 non pubblicato in DTF 142 I 188; Sentenza CDP del 21 febbraio 2020, inc. 9.2019.158, consid. 3.3 e rif.).</w:t>
      </w:r>
    </w:p>
    <w:p>
      <w:r>
        <w:rPr>
          <w:b/>
        </w:rPr>
        <w:t>E. 3.2</w:t>
      </w:r>
    </w:p>
    <w:p>
      <w:r>
        <w:t>La misura di protezione dell'art. 310 cpv. 1 CC ha come conseguenza che il diritto di determinare il luogo di dimora del figlio viene tolto ai genitori o a un genitore e trasferito all'autorità di protezione dei minori, la quale diventa allora responsabile della cura del figlio (STF 5A_562/2019 del 9 ottobre 2019, consid. 2.1; STF 5A_724/2015 del 2 giugno 2016 consid. 6.3 non pubblicato in DTF 142 I 188). Il collocamento del minorenne può avvenire presso terzi o un istituto e deve essere, secondo la norma, “conveniente” ( approprié ; angemessen ). Esso deve dunque corrispondente alla personalità e ai bisogni del minore. I criteri da prendere in considerazione sono in particolare l’età del minore, la sua personalità, i suoi bisogni educativi o, più in generale, i bisogni relativi alla sua presa a carico, la stabilità e la continuità del suo ambiente di vita, l’opinione dei genitori e le relazioni di prossimità del bambino.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 Sentenza CDP del 21 febbraio 2020, inc. 9.2019.158, consid. 3.3 e rif. ; Sentenza CDP del 27 marzo 2015, inc. 9.2014.200-201, consid. 6.3 e rif. ).</w:t>
      </w:r>
    </w:p>
    <w:p>
      <w:r>
        <w:rPr>
          <w:b/>
        </w:rPr>
        <w:t>E. 3.3</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21 febbraio 2020, inc. 9.2019.158, consid. 3.4 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 ).</w:t>
      </w:r>
    </w:p>
    <w:p>
      <w:r>
        <w:rPr>
          <w:b/>
        </w:rPr>
        <w:t>E. 4</w:t>
      </w:r>
    </w:p>
    <w:p>
      <w:r>
        <w:t>La misura di protezione contestata da RE 1 nel suo reclamo è la privazione del diritto di determinare il luogo di dimora sul figlio, ma non il collocamento di quest’ultimo in istituto, che la madre ha più volte dichiarato di condividere. Dagli atti emergono peraltro molto chiaramente l’importante problematica di PI 1 e le difficoltà di RE 1 a contenere il suo disagio, che ha avuto come conseguenza, ormai da quasi dieci anni, numerosi collocamenti in altrettanti istituti. Di fatto, la copiosa documentazione agli atti illustra una situazione in cui il minore ha avuto bisogno di essere ricoverato in ospedali, cliniche e istituti terapeutici praticamente permanentemente e senza miglioramenti di rilievo. Citando il più recente rapporto agli atti, del 29 novembre 2021 del Servizio medico-psicologico, sottoscritto dalla dr.ssa med. __________ e dal dr. med. __________, “ a causa della gravità del quadro clinico espresso dal minore, della fragilità del contesto famigliare, caratterizzato da grave conflittualità con la madre in un rapporto simbiotico e dalla difficoltà di reperire una struttura adatta al collocamento del minore, i risultati nel raggiungimento di un compenso sono limitati ”. La diagnosi fornita dagli specialisti è quella di “ grave disturbo misto della condotta e della sfera emozionale (ICD-10-F92.8), gli aspetti clinici evidenziati orientano sempre più la diagnosi verso una sindrome schizoaffettiva di tipo misto (ICD-10-F.25.2) con aggressività, scarso controllo degli impulsi, aspetti paraonidei e intepretativi. È inoltre presente un disturbo del corso e del flusso del pensiero, fuga, deragliamento e accelerazione, somatizzazione e possibili disturbi sensoriali ”. Le svariate decisioni con cui le Autorità di protezione hanno privato la madre del diritto di determinare il luogo di dimora sul figlio, che essa non ha peraltro mai contestato, appaiono quindi una costante nella storia del ragazzo, che necessita di cure permanenti che la sua famiglia non appare essere in grado di fornirgli autonomamente. Le motivazioni espresse da RE 1 relativamente alla sua contestazione non appaiono peraltro del tutto chiare: nel suo reclamo essa sembra contestare soprattutto l’interruzione delle relazioni personali, mentre non spiega, e ciò nemmeno nell’allegato di replica, in che misura un ripristino del suo diritto di determinare il luogo di dimora sul figlio potrebbe essere considerato a favore del bene di quest’ultimo, rispettivamente potrebbe avere delle conseguenze positive sulla situazione. A mente di questo giudice, appare innegabile il bisogno di aiuto e protezione del minore, in condizioni in cui la madre stessa è consapevole di non essere in grado di farvi fronte da sola. Nel contesto descritto, in cui la madre da anni è sostenuta da una rete importante che si occupa di gestire pure i numerosi ricoveri, la privazione del suo diritto di determinare il luogo di dimora risulta essere una misura giustificata, certamente idonea allo scopo di protezione di PI 1 e rispettosa dei principi di proporzionalità e sussidiarietà.</w:t>
      </w:r>
    </w:p>
    <w:p>
      <w:r>
        <w:rPr>
          <w:b/>
        </w:rPr>
        <w:t>E. 5</w:t>
      </w:r>
    </w:p>
    <w:p>
      <w:r>
        <w:t>Alla luce di quanto precede, per quanto non divenuto privo d’oggetto, il reclamo di RE 1 va respinto e la decisione impugnata confermata. Gli oneri processuali seguono la soccombenza della reclamante e devono dunque essere posti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