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9.2017.98 vom 26. Oktober 2017</w:t>
      </w:r>
    </w:p>
    <w:p>
      <w:r>
        <w:t>TI Tribunale d'appello, 2017-10-26, IT</w:t>
      </w:r>
    </w:p>
    <w:p>
      <w:r>
        <w:rPr>
          <w:b/>
        </w:rPr>
        <w:t xml:space="preserve">Quelle: </w:t>
      </w:r>
      <w:r>
        <w:t>https://mcp.opencaselaw.ch/entscheid/ti_gerichte_9.2017.98</w:t>
      </w:r>
    </w:p>
    <w:p>
      <w:r>
        <w:t>FR: TI_GERICHTE 9.2017.98 du 26 octobre 2017</w:t>
      </w:r>
    </w:p>
    <w:p>
      <w:r>
        <w:t>IT: TI_GERICHTE 9.2017.98 del 26 ottobre 2017</w:t>
      </w:r>
    </w:p>
    <w:p>
      <w:pPr>
        <w:pStyle w:val="Heading2"/>
      </w:pPr>
      <w:r>
        <w:t>Regeste</w:t>
      </w:r>
    </w:p>
    <w:p>
      <w:r>
        <w:t>Regolamentazione delle relazioni personali, mandato per perizia psichiatrica: reclami privi di oggetto,la competenza spetta al Pretore successivamente adito dal reclamante medesimo per una modifica della sentenza di divorzio in relazione all’autorità parentale e alle relazioni personali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e n. 43; sentenza CDP 13 ottobre 2017, inc. 9.2017.113, consid. 4; sentenza CDP 8 ottobre 2013, inc. 9.2013.181); che dallo scritto del Pretore si evince che nella richiesta di modifica della sentenza di divorzio presentata da RE 1 viene postulata la revoca dell’ordine di riconsegna del figlio alla madre, l’attribuzione dell’autorità parentale congiunta ai due genitori, con affidamento di PI 1 alle cure della madre, la concessione di un ampio diritto di visita tra padre e figlio, da aumentare in durata gradualmente nel tempo e la soppressione del contributo alimentare dovuto dal padre al figlio; il Pretore ha altresì precisato di essersi già chinato in via supercautelare sulle richieste del padre di PI 1, respingendole, e che il prossimo 6 novembre è prevista l’udienza per il tentativo di conciliazione; che, di conseguenza, le tematiche oggetto di reclamo – ovvero la regolamentazione delle relazioni personali e la questione di sapere se per una loro estensione è necessario procedere ad una perizia psichiatrica del padre – devono ormai essere considerate di competenza della Pretura; che in applicazione delle norme summenzionate, i reclami vanno ormai considerati privi d’oggetto e le rispettive procedure vanno stralciate dai ruoli; che, viste le circostanze, si rinuncia a prelevare oneri processuali e ad attribuire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