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9.2017.89 vom 26. September 2017</w:t>
      </w:r>
    </w:p>
    <w:p>
      <w:r>
        <w:t>TI Tribunale d'appello, 2017-09-26, IT</w:t>
      </w:r>
    </w:p>
    <w:p>
      <w:r>
        <w:rPr>
          <w:b/>
        </w:rPr>
        <w:t xml:space="preserve">Quelle: </w:t>
      </w:r>
      <w:r>
        <w:t>https://mcp.opencaselaw.ch/entscheid/ti_gerichte_9.2017.89</w:t>
      </w:r>
    </w:p>
    <w:p>
      <w:r>
        <w:t>FR: TI_GERICHTE 9.2017.89 du 26 septembre 2017</w:t>
      </w:r>
    </w:p>
    <w:p>
      <w:r>
        <w:t>IT: TI_GERICHTE 9.2017.89 del 26 settembre 2017</w:t>
      </w:r>
    </w:p>
    <w:p>
      <w:pPr>
        <w:pStyle w:val="Heading2"/>
      </w:pPr>
      <w:r>
        <w:t>Regeste</w:t>
      </w:r>
    </w:p>
    <w:p>
      <w:r>
        <w:t>Privazione dell'accesso a dati beni senza l'istituzione di una curatela; ammontare dell'importo a libera disposizione</w:t>
      </w:r>
    </w:p>
    <w:p>
      <w:pPr>
        <w:pStyle w:val="Heading2"/>
      </w:pPr>
      <w:r>
        <w:t>Erwägungen</w:t>
      </w:r>
    </w:p>
    <w:p>
      <w:r>
        <w:rPr>
          <w:b/>
        </w:rPr>
        <w:t>E. 1</w:t>
      </w:r>
    </w:p>
    <w:p>
      <w:r>
        <w:t>Le decisioni delle Autorità regionali di protezione concernenti maggiorenni sono impugnabili mediante reclamo alla Camera di protezione del Tribunale d’appello, che decide nella composizione di un giudice unico (art. 450 CC in combinato disposto con gli artt. 314 cpv. 1 e 440 cpv. 3 CC; art. 2 cpv. 2 LPMA; art. 48 lett. f n. 7 LOG). Riguardo alla procedura applicabile, per quanto non già regolato dall’art. 450 segg. CC, occorre riferirsi, in via sussidiaria, alla LPAmm,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L’Autorità di protezione contesta la legittimazione attiva del reclamante e la ricevibilità delle richieste di cambio di appartamento e di nomina di un curatore.</w:t>
      </w:r>
    </w:p>
    <w:p>
      <w:r>
        <w:rPr>
          <w:b/>
        </w:rPr>
        <w:t>E. 2.1</w:t>
      </w:r>
    </w:p>
    <w:p>
      <w:r>
        <w:t>Secondo l’art. 450 cpv. 2 CC, “ sono legittimate al reclamo: 1.  le persone che partecipano al procedimento; 2.  le persone vicine all'interessato; 3.  le persone che hanno un interesse giuridicamente protetto all'annullamento o alla modifica della decisione impugnata ”. Come sostiene l’Autorità di protezione, il reclamante non partecipa al procedimento. Inoltre non ha un interesse giuridicamente protetto all’annullamento o alla modifica della decisione impugnata, ma nemmeno lo fa valere. Egli è però indubitabilmente una persona vicina all’interessato. Al punto 3 del suo reclamo RE 1 esplicita quale sia il motivo per il quale ha interposto ricorso: proteggere il patrimonio di PI 1. Certamente questa preoccupazione è strettamente connessa col timore di doverlo mantenere, una volta che questi abbia esaurito la propria sostanza (cfr. punto 4 del reclamo). Ma è sufficiente per fondarne la legittimazione attiva.</w:t>
      </w:r>
    </w:p>
    <w:p>
      <w:r>
        <w:rPr>
          <w:b/>
        </w:rPr>
        <w:t>E. 2.2</w:t>
      </w:r>
    </w:p>
    <w:p>
      <w:r>
        <w:t>Questa Camera è un’autorità di giudizio di secondo grado, competente perciò per decidere dei reclami contro le decisioni delle Autorità regionali di protezione o, se sono dati i presupposti, contro l’inazione o il ritardo ingiustificati. Il reclamante avrebbe dovuto previamente sottoporre all’Autorità di prima sede le questioni del cambio di appartamento e della nomina di un curatore. Ciò a garanzia, tra l’altro, del doppio grado di giudizio.</w:t>
      </w:r>
    </w:p>
    <w:p>
      <w:r>
        <w:rPr>
          <w:b/>
        </w:rPr>
        <w:t>E. 2.3</w:t>
      </w:r>
    </w:p>
    <w:p>
      <w:r>
        <w:t>La legittimazione attiva del reclamante è in ogni caso data. Si deve di conseguenza entrare nel merito del reclamo, fatta eccezione per le richieste di cui al punto precedente. 3.1. Secondo l’art. 445 cpv. 1 CC, l'Autorità di protezione degli adulti prende, ad istanza di una persona che partecipa al procedimento o d'ufficio, tutti i provvedimenti cautelari necessari per la durata del procedimento. Può in particolare ordinare a titolo cautelare una misura di protezione degli adulti. A norma dell’art. 392 CC, se l'istituzione di una curatela appare manifestamente sproporzionata rispetto all'estensione dei compiti, l'autorità di protezione degli adulti può provvedere di moto proprio a quanto necessario. In virtù dell’art. 395 cpv. 3 CC, l'Autorità di protezione degli adulti può privare l'interessato dell'accesso a dati beni senza limitarne l'esercizio dei diritti civili. Il blocco dei conti (art. 395 cpv. 3 CC) – ordinato direttamente dall’Autorità di protezione (art. 392 CC) quale misura cautelare (art. 445 cpv. 1, 2 a fr. CC) – si giustifica in assenza di curatela, quando il patrimonio deve essere protetto ma non ha bisogno di essere gestito. Nelle situazioni in cui la persona rischia di agire contrariamente ai propri interessi, il blocco dei conti presenta infatti degli evidenti vantaggi pratici (M eier , Commentaire du droit de la famille, Protection de l’adulte, Berna 2013, art. 395 n. 25). 3.2. Il fatto che l’Autorità di protezione sia intervenuta con una misura di protezione a titolo cautelare a norma degli artt. 392 e 395 cpv. 3 CC non è contestato. Lo è invece la questione dell’ammontare dell’ordine permanente settimanale con il quale l’Autorità di protezione ha limitato a CHF 1’250.– settimanali l’importo a libera disposizione di PI 1. 3.3. Secondo l’Autorità di protezione e PI 1 l’ammontare, di CHF 1’250.–, sarebbe proporzionato. Considerata la sua capacità di discernimento in quanto ad amministrare CHF 1’250.– settimanali, che può parere indebolita ma non è compromessa, non si giustifica una misura cautelare più incisiva. Misura cautelare che, una volta conclusa l’istruttoria, se del caso l’Autorità di protezione modificherà. Secondo il reclamante, invece, CHF 1’250.– settimanali sono troppi per un ottantacinquenne, ritenuto che le spese fisse non sono incluse e che quindi quella cifra è interamente a disposizione per i suoi passatempi. 3.4. Dall’incarto non emerge che l’Autorità di protezione, il reclamante o PI 1 stesso si siano concretamente chinati sulla questione di sapere se – e perché – CHF 1’250.– sarebbero o meno sufficienti per soddisfarne i bisogni. Non è stata, in pratica, stilata una lista delle spese che tale cifra andrebbe a coprire. Ciò posto, considerato che PI 1 ha 85 anni e non ha allegato uscita alcuna al di fuori delle spese per i pasti, visti i recenti comportamenti da lui tenuti che ne mettono a repentaglio il patrimonio (e ai quali egli non sembrerebbe aver posto termine, stando allo scritto della figlia del 7 agosto 2017) e ricordato che la misura è cautelare e pertanto verrà rivalutata una volta conclusa l’istruttoria, questo giudice ritiene più che sufficiente una somma settimanale a disposizione di CHF 625.–. Per altro, qualora dovesse in futuro rendersi necessario far capo a una badante, l’Autorità di protezione potrà modificare verso l’alto l’importo in questione.</w:t>
      </w:r>
    </w:p>
    <w:p>
      <w:r>
        <w:rPr>
          <w:b/>
        </w:rPr>
        <w:t>E. 4</w:t>
      </w:r>
    </w:p>
    <w:p>
      <w:r>
        <w:t>Visto quanto precede, il reclamo va accolto. Di conseguenza, il dispositivo n. 4 della decisione impugnata va riformato nel senso di portare l’ordine permanente settimanale a CHF 625.–. Gli atti vengono retrocessi all’Autorità inferiore per le valutazioni e le decisioni di sua competenza in relazione alla segnalazione del</w:t>
      </w:r>
    </w:p>
    <w:p>
      <w:r>
        <w:rPr>
          <w:b/>
        </w:rPr>
        <w:t>E. 7</w:t>
      </w:r>
    </w:p>
    <w:p>
      <w:r>
        <w:t>agosto 2017 di PI 2. 5. Gli oneri processuali seguono la soccombenza e vanno dunque messi a carico di PI 1. Non si assegnano ripetibili, per altro non richieste.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