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9.2016.70 vom 13. Mai 2016</w:t>
      </w:r>
    </w:p>
    <w:p>
      <w:r>
        <w:t>TI Tribunale d'appello, 2016-05-13, IT</w:t>
      </w:r>
    </w:p>
    <w:p>
      <w:r>
        <w:rPr>
          <w:b/>
        </w:rPr>
        <w:t xml:space="preserve">Quelle: </w:t>
      </w:r>
      <w:r>
        <w:t>https://mcp.opencaselaw.ch/entscheid/ti_gerichte_9.2016.70</w:t>
      </w:r>
    </w:p>
    <w:p>
      <w:r>
        <w:t>FR: TI_GERICHTE 9.2016.70 du 13 mai 2016</w:t>
      </w:r>
    </w:p>
    <w:p>
      <w:r>
        <w:t>IT: TI_GERICHTE 9.2016.70 del 13 maggio 2016</w:t>
      </w:r>
    </w:p>
    <w:p>
      <w:pPr>
        <w:pStyle w:val="Heading2"/>
      </w:pPr>
      <w:r>
        <w:t>Regeste</w:t>
      </w:r>
    </w:p>
    <w:p>
      <w:r>
        <w:t>Collocamento di minore sotto tutela e della madre minorenne sotto curatela, reclamo prematuro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decisioni delle Autorità regionali di protezione concernenti maggiorenni e minorenni sono impugnabili mediante reclamo alla Camera di protezione del Tribunale di appello, che decide nella composizione di un giudice unico [art. 450 CC in relazione agli 314 cpv. 1 e 440 cpv. 3 CC; art.</w:t>
      </w:r>
    </w:p>
    <w:p>
      <w:r>
        <w:rPr>
          <w:b/>
        </w:rPr>
        <w:t>E. 2</w:t>
      </w:r>
    </w:p>
    <w:p>
      <w:r>
        <w:t>Pur allegando ai reclami la decisione 7 aprile 2016 (ris. n. 123) dell’Autorità di protezione, le reclamanti non spendono neppure una parola sull’istituzione della tutela ai sensi dell’art. 327a CC a favore di PI 1 e sulla nomina della signora TUTS 1 quale tutrice con il compito segnatamente di rappresentare il minore. Nella misura in cui le reclamanti – accludendo la predetta decisione al loro reclamo – intendono contestare tale decisione, i gravami si avverano palesemente irricevibili per assenza di una qualsivoglia motivazione ricorsuale.</w:t>
      </w:r>
    </w:p>
    <w:p>
      <w:r>
        <w:rPr>
          <w:b/>
        </w:rPr>
        <w:t>E. 3</w:t>
      </w:r>
    </w:p>
    <w:p>
      <w:r>
        <w:t>e art. 415 CC) si applica anche in merito alla determinazione del luogo di dimora del minore. Sicché, il minorenne capace di discernimento, i suoi congiunti o le persone a lui vicine possono contestare in ogni momento presso l’Autorità di protezione il luogo di dimora scelto dal tutore e domandare che ne venga proposto un altro (cf. art. 327c CC in relazione con art. 419 CC). Il collocamento ha come scopo il bene del minorenne. Le modalità e la durata del collocamento devono dunque rispettare il principio di proporzionalità, essere necessari e adatti ai bisogni del minorenne. Inoltre il contratto di durata del collocamento dovrà essere approvato dall’Autorità di protezione giusta l’art. 416 cpv. 1 cifra 2 CC, chiamata a prendere posizione sull’idoneità di ogni collocamento che non sia a breve termine (come in caso di ferie; art. 327c cpv.2 in relazione con art. 419 CC) (BK-ZGB I, 5ª ed., Lienhard/Affolter, n. 45 ad. art. 327c CC; CommFam protection de l’adulte, Biderbost, n. 13 ad art. 416 CC; Messaggio concernente la modifica del Codice civile svizzero (Protezione degli adulti, diritto delle persone e diritto della filiazione) del 28 giugno 2006, FF 2006 pag. 6445; STF 5A_742/2013 del 24 dicembre 2013, consid. 2.2). 3.2.2. In concreto, non è contestata né l’istituzione di una tutela a favore del picciolo PI 1 – resasi necessaria a motivo della minorità della madre RE 2 (cfr. art. 327a CC; Meier/Stettler , Droit de filiation, 5ª ed., Losanna 2014, n. 596 pag. 402) – né la nomina della tutrice signora TUTS 1. Contestato sembra essere invece il luogo di collocamento del minore, predisposto dalla tutrice. Non è noto come sia stata formalizzata da parte della tutrice la decisione di collocare il tutelato presso la struttura __________. Non compete comunque alla Camera di protezione pronunciarsi in prima istanza su contestazioni relative a tale collocamento. Le doglianze delle reclamanti devono in effetti essere esaminate dall’Autorità di protezione ( Steinauer/Fountoulakis , Droit des personnes physiques et de la protection de l’adulte, Berna 2014, n. 1345 pag. 590), alla quale i reclami vengono di conseguenza trasmessi per competenza e evasione.</w:t>
      </w:r>
    </w:p>
    <w:p>
      <w:r>
        <w:rPr>
          <w:b/>
        </w:rPr>
        <w:t>E. 4</w:t>
      </w:r>
    </w:p>
    <w:p>
      <w:r>
        <w:t>Per le considerazioni che precedono i reclami presentati da RE 1 (inc. CDP n. 9.2016.70) e RE 2 (inc. CDP n. 9.2016.71) vanno di conseguenza dichiarati irricevibili. Gli stessi vengono tuttavia trasmessi all’Autorità di protezione perché abbia a procedere senza indugio ai sensi dei considerandi alle decisioni che le competono.</w:t>
      </w:r>
    </w:p>
    <w:p>
      <w:r>
        <w:rPr>
          <w:b/>
        </w:rPr>
        <w:t>E. 5</w:t>
      </w:r>
    </w:p>
    <w:p>
      <w:r>
        <w:t>Viste le circostanze si prescinde dal prelevare tasse e spese di giustizia.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