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9.2016.131 vom 23. September 2016</w:t>
      </w:r>
    </w:p>
    <w:p>
      <w:r>
        <w:t>TI Tribunale d'appello, 2016-09-23, IT</w:t>
      </w:r>
    </w:p>
    <w:p>
      <w:r>
        <w:rPr>
          <w:b/>
        </w:rPr>
        <w:t xml:space="preserve">Quelle: </w:t>
      </w:r>
      <w:r>
        <w:t>https://mcp.opencaselaw.ch/entscheid/ti_gerichte_9.2016.131</w:t>
      </w:r>
    </w:p>
    <w:p>
      <w:r>
        <w:t>FR: TI_GERICHTE 9.2016.131 du 23 septembre 2016</w:t>
      </w:r>
    </w:p>
    <w:p>
      <w:r>
        <w:t>IT: TI_GERICHTE 9.2016.131 del 23 settembre 2016</w:t>
      </w:r>
    </w:p>
    <w:p>
      <w:pPr>
        <w:pStyle w:val="Heading2"/>
      </w:pPr>
      <w:r>
        <w:t>Regeste</w:t>
      </w:r>
    </w:p>
    <w:p>
      <w:r>
        <w:t>Ricusa del Presidente dell'ARP infondata e ricusa della segretaria dell'ARP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decisioni delle Autorità regionali di protezione sono impugnabili mediante reclamo alla Camera di protezione del Tribunale di appello, che giudica in seconda istanza i reclami contro le decisioni sulle domande di ricusa contro le Autorità regionali di protezione o suoi membri (art. 48 lett. f n. 1 LOG).</w:t>
      </w:r>
    </w:p>
    <w:p>
      <w:r>
        <w:rPr>
          <w:b/>
        </w:rPr>
        <w:t>E. 2</w:t>
      </w:r>
    </w:p>
    <w:p>
      <w:r>
        <w:t>La decisione impugnata (datata 9 giugno 2016) è stata intimata mediante invio postale raccomandato il 13 giugno 2016 recapitata alla reclamante il 14 giugno 2016 (cfr. busta di intimazione e track and trace della Posta). Il termine per presentare il reclamo scadeva di conseguenza il 14 luglio 2016. Introdotto mediante invio postale raccomandato del 14 luglio 2016 il reclamo è pertanto tempestivo.</w:t>
      </w:r>
    </w:p>
    <w:p>
      <w:r>
        <w:rPr>
          <w:b/>
        </w:rPr>
        <w:t>E. 3</w:t>
      </w:r>
    </w:p>
    <w:p>
      <w:r>
        <w:t>Giusta l’art. 31 cpv. 1 della Legge sull’organizzazione e la procedura in materia di protezione del minore e dell’adulto (LPMA), per la ricusazione dei membri delle Autorità regionali di protezione si applicano i motivi previsti dal CPC federale. L’art. 47 cpv. 1 CPC elenca i motivi di ricusazione. La norma concretizza le garanzie dell’art. 30 cpv. 1 Cost, che da questo profilo ha la stessa portata dell’art.</w:t>
      </w:r>
    </w:p>
    <w:p>
      <w:r>
        <w:rPr>
          <w:b/>
        </w:rPr>
        <w:t>E. 6</w:t>
      </w:r>
    </w:p>
    <w:p>
      <w:r>
        <w:t>Visto quanto precede, il reclamo – pretestuoso e ai limiti dell’abuso di diritto – per quanto non sia irricevibile e inammissibile, va respinto e la decisione impugnata confermata.</w:t>
      </w:r>
    </w:p>
    <w:p>
      <w:r>
        <w:rPr>
          <w:b/>
        </w:rPr>
        <w:t>E. 7</w:t>
      </w:r>
    </w:p>
    <w:p>
      <w:r>
        <w:t>L’emanazione del giudizio attuale rende priva d’oggetto la richiesta di restituzione dell’effetto sospensivo formulata nel reclamo.</w:t>
      </w:r>
    </w:p>
    <w:p>
      <w:r>
        <w:rPr>
          <w:b/>
        </w:rPr>
        <w:t>E. 8</w:t>
      </w:r>
    </w:p>
    <w:p>
      <w:r>
        <w:t>G li oneri processuali seguono la palese soccombenza e sono dunque posti a carico della reclamante.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