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9.2015.63 vom 13. August 2015</w:t>
      </w:r>
    </w:p>
    <w:p>
      <w:r>
        <w:t>TI Tribunale d'appello, 2015-08-13, IT</w:t>
      </w:r>
    </w:p>
    <w:p>
      <w:r>
        <w:rPr>
          <w:b/>
        </w:rPr>
        <w:t xml:space="preserve">Quelle: </w:t>
      </w:r>
      <w:r>
        <w:t>https://mcp.opencaselaw.ch/entscheid/ti_gerichte_9.2015.63</w:t>
      </w:r>
    </w:p>
    <w:p>
      <w:r>
        <w:t>FR: TI_GERICHTE 9.2015.63 du 13 août 2015</w:t>
      </w:r>
    </w:p>
    <w:p>
      <w:r>
        <w:t>IT: TI_GERICHTE 9.2015.63 del 13 agosto 2015</w:t>
      </w:r>
    </w:p>
    <w:p>
      <w:pPr>
        <w:pStyle w:val="Heading2"/>
      </w:pPr>
      <w:r>
        <w:t>Regeste</w:t>
      </w:r>
    </w:p>
    <w:p>
      <w:r>
        <w:t>Istituzione curatela educativa Carenza di motivazione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Con la decisione impugnata l’Autorità di protezione ha provveduto a: istituire una curatela educativa per la vigilanza delle relazioni personali ex art. 308 cpv. 2 CC; nominare la curatrice, preventivamente proposta ai genitori in sede d’udienza; ratificare l’assetto relativo alle relazioni personali madre-figlia stabilito dai genitori in sede d’udienza il 22 gennaio 2015. Oggetto della decisione avversata non è pertanto l’attribuzione dell’autorità parentale congiunta ad entrambi i genitori e neppure la decisione di conferire la custodia parentale di PI 1 al padre. Tali decisioni – prese in precedenza dall’Autorità di protezione - sono infatti cresciute in giudicato incontestate.</w:t>
      </w:r>
    </w:p>
    <w:p>
      <w:r>
        <w:rPr>
          <w:b/>
        </w:rPr>
        <w:t>E. 3</w:t>
      </w:r>
    </w:p>
    <w:p>
      <w:r>
        <w:t>Ad un sommario esame, si rileva che l’istituzione della curatela in oggetto è stata decisa dopo aver debitamente informato gli interessati e aver ottenuto il loro consenso (cfr. udienze del 22 gennaio e 5 marzo 2015). L’importanza di una curatela, per la vigilanza delle relazioni personali, nel caso in esame appare evidente. Innegabile è infatti che l’esercizio del diritto di visita denota, da diversi anni, una conflittualità tale da pregiudicare il bene della minore. Nel gravame RE 1 non si confronta con le ragioni esposte dall’Autorità di protezione circa la necessità della figura del curatore educativo per proteggere il minore dall’alta conflittualità dei genitori e neppure pretende che una misura meno incisiva sarebbe sufficiente per garantire la protezione del bene della figlia. Anzi, con il suo reclamo RE 1 attesta di essere in una situazione di forte litigiosità con PI 2. Situazione peraltro confermata pure da PI 1 (cfr. verbale d’audizione), dal padre, dall’Autorità di protezione e dal Pretore del Distretto di __________.</w:t>
      </w:r>
    </w:p>
    <w:p>
      <w:r>
        <w:rPr>
          <w:b/>
        </w:rPr>
        <w:t>E. 4</w:t>
      </w:r>
    </w:p>
    <w:p>
      <w:r>
        <w:t>Quanto alla figura della curatrice, dall’esame del reclamo, si fatica a comprende se RE 1 intenda contestare la scelta della curatrice operata dall’Autorità di protezione o le capacità della medesima. In relazione alla curatrice la reclamante sostiene che “senza voler entrare nel merito sulle capacità professionali della curatrice __________ che non sono in grado di giudicare, ma anch’essa si trova in balia degli eventi”; poi però lamenta che la stessa sarebbe spesso irreperibile. In sostanza nel reclamo RE 1 sembra limitarsi a lamentare una non meglio precisata “scarsa reperibilità” della curatrice. In concreto non vi sono motivi sufficienti che possano giustificare la sostituzione della curatrice. La reclamante – al di là della pretesa e non comprovata “scarsa reperibilità” - non rimprovera infatti alcunché alla stessa. Dalla duplica del 3 giugno 2015 emerge peraltro che la curatrice avrebbe, nel frattempo, favorito il ripristino delle relazioni personali fra la madre e la figlia. Le critiche della reclamante cadono pertanto nel vuoto.</w:t>
      </w:r>
    </w:p>
    <w:p>
      <w:r>
        <w:rPr>
          <w:b/>
        </w:rPr>
        <w:t>E. 5</w:t>
      </w:r>
    </w:p>
    <w:p>
      <w:r>
        <w:t>Con il reclamo, RE 1, sembra pure voler formulare richieste circa la regolamentazione delle relazioni personali. Nel dispositivo n. 4 della risoluzione impugnata, l’Autorità di protezione ha in particolare ratificato l’accordo stipulato fra i genitori in sede d’udienza (22 gennaio 2015), in particolare: “un weekend ogni quindici giorni a far tempo dal venerdì 30 gennaio 2015, oltre un giorno infrasettimanale da definire”. La generica richiesta, formulata in sede di replica, di poter “regolamentare al più presto il rapporto con PI 1, calcolando” i suoi “impegni professionali e quelli scolastici ed extra-scolastici della figlia” oltre ad essere poco chiara è in ogni caso irricevibile, poiché fatta valere per la prima volta in questa sede. Tale richiesta, oltre che irricevibile, è finanche pretestuosa in quanto la regolamentazione delle relazioni personali (proposta appunto dai genitori stessi) è già ampiamente regolamentata.</w:t>
      </w:r>
    </w:p>
    <w:p>
      <w:r>
        <w:rPr>
          <w:b/>
        </w:rPr>
        <w:t>E. 6</w:t>
      </w:r>
    </w:p>
    <w:p>
      <w:r>
        <w:t>Nel gravame RE 1 indica, infine, in modo in modo confuso, una serie di critiche all’Autorità di protezione e al padre di PI 1 – quest’ultimo responsabile, a suo dire, dell’allontanamento della figlia dalla madre - senza però motivarle. Innanzitutto critica l’operato dell’Autorità di protezione, che a suo avviso non sarebbe stata capace di gestire la situazione e di imporre regole di visita. Tale critica, oltre a non essere documentata, è del tutto inconsistente. Pure la critica ai danni della curatrice, circa la mancata reperibilità, è del tutto infondata. Come indicato nel paragrafo precedente, ritenuto che la situazione sarebbe tornata “alla normalità”, mal si comprende quali sarebbero, al riguardo, le lacune nell’operato della stessa.</w:t>
      </w:r>
    </w:p>
    <w:p>
      <w:r>
        <w:rPr>
          <w:b/>
        </w:rPr>
        <w:t>E. 7</w:t>
      </w:r>
    </w:p>
    <w:p>
      <w:r>
        <w:t>Palesemente carente di motivazione, il reclamo sfugge ad ogni ulteriore disanima e quindi, nella limitata misura della sua ricevibilità, deve essere respinto. Tasse e spese sono a carico della reclamante – totalmente soccombente – tenuta anche a rifondere a PI 2 fr. 400.- a titolo di ripetibili. Visto l'esito del reclamo e il diritto a ripetibili, la domanda di assistenza giudiziaria e di gratuito patrocinio presentata da PI 2 deve essere considerata priva di oggetto (cfr. STF del 18 luglio 2012, inc. 2C_182/2012, consid. 6.3; STF del 7 agosto 2009, inc. 5A_389/2009, consid. 7; Sentenza CDP dell’11 marzo 2014, inc. 9.2013.175,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