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9.2015.145 vom 8. Juli 2016</w:t>
      </w:r>
    </w:p>
    <w:p>
      <w:r>
        <w:t>TI Tribunale d'appello, 2016-07-08, IT</w:t>
      </w:r>
    </w:p>
    <w:p>
      <w:r>
        <w:rPr>
          <w:b/>
        </w:rPr>
        <w:t xml:space="preserve">Quelle: </w:t>
      </w:r>
      <w:r>
        <w:t>https://mcp.opencaselaw.ch/entscheid/ti_gerichte_9.2015.145</w:t>
      </w:r>
    </w:p>
    <w:p>
      <w:r>
        <w:t>FR: TI_GERICHTE 9.2015.145 du 8 juillet 2016</w:t>
      </w:r>
    </w:p>
    <w:p>
      <w:r>
        <w:t>IT: TI_GERICHTE 9.2015.145 del 8 luglio 2016</w:t>
      </w:r>
    </w:p>
    <w:p>
      <w:pPr>
        <w:pStyle w:val="Heading2"/>
      </w:pPr>
      <w:r>
        <w:t>Regeste</w:t>
      </w:r>
    </w:p>
    <w:p>
      <w:r>
        <w:t>Revoca curatela ad hoc, protezione della sostanza del figlio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Nel proprio reclamo, a titolo cautelare, a motivo che PI 1 avrebbe assunto dei comportamenti lesivi degli interessi della figlia, da una parte, nell’avviare diverse procedure nell’ambito della devoluzione successoria del defunto __________ “ ostacolando così la divisione dell’eredità ” e dall’altra, non avendo adempiuto nessuno dei passi a lei imposti tramite decisione del 23 gennaio 2014 (Ris. n. 15769), segnatamente presentare un inventario della sostanza, un rendiconto semestrale della sostanza della figlia e esibire ogni mese un rapporto circa l’andamento delle pratiche successorie, la reclamante domanda l’adozione di “ provvedimenti analoghi a quelli oggetto delle Ris. no. 8741 e Ris. no. 10224) ” (reclamo pag. 6). La domanda summenzionata di provvedimenti cautelari è stata reiterata con istanza dell’8 giugno 2016. Così come la richiesta di restituzione dell’effetto sospensivo al reclamo, l’istanza di adozione di provvedimenti cautelari è priva di oggetto in prosieguo dell’emanazione della presente sentenza.</w:t>
      </w:r>
    </w:p>
    <w:p>
      <w:r>
        <w:rPr>
          <w:b/>
        </w:rPr>
        <w:t>E. 11</w:t>
      </w:r>
    </w:p>
    <w:p>
      <w:r>
        <w:t>Gli oneri processali seguono la soccombenza e sono dunque posti a carico della reclamante, che riconoscerà una equa partecipazione per le ripetibili di PI 1.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