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9.2014.171 vom 17. Dezember 2014</w:t>
      </w:r>
    </w:p>
    <w:p>
      <w:r>
        <w:t>TI Tribunale d'appello, 2014-12-17, IT</w:t>
      </w:r>
    </w:p>
    <w:p>
      <w:r>
        <w:rPr>
          <w:b/>
        </w:rPr>
        <w:t xml:space="preserve">Quelle: </w:t>
      </w:r>
      <w:r>
        <w:t>https://mcp.opencaselaw.ch/entscheid/ti_gerichte_9.2014.171</w:t>
      </w:r>
    </w:p>
    <w:p>
      <w:r>
        <w:t>FR: TI_GERICHTE 9.2014.171 du 17 décembre 2014</w:t>
      </w:r>
    </w:p>
    <w:p>
      <w:r>
        <w:t>IT: TI_GERICHTE 9.2014.171 del 17 dicembre 2014</w:t>
      </w:r>
    </w:p>
    <w:p>
      <w:pPr>
        <w:pStyle w:val="Heading2"/>
      </w:pPr>
      <w:r>
        <w:t>Regeste</w:t>
      </w:r>
    </w:p>
    <w:p>
      <w:r>
        <w:t>Nomina curatore di rappresentanza - reclamo tardivo</w:t>
      </w:r>
    </w:p>
    <w:p>
      <w:pPr>
        <w:pStyle w:val="Heading2"/>
      </w:pPr>
      <w:r>
        <w:t>Volltext</w:t>
      </w:r>
    </w:p>
    <w:p>
      <w:r>
        <w:t>Ticino Tribunale di appello diritto civile Il presidenta della Camera di protezione 17.12.2014 9.2014.171</w:t>
      </w:r>
    </w:p>
    <w:p>
      <w:r>
        <w:t>Nomina curatore di rappresentanza - reclamo tardivo</w:t>
      </w:r>
    </w:p>
    <w:p>
      <w:r>
        <w:t>Incarto n. 9.2014.171 Lugano 17 dicembre 2014 In nome della Repubblica e Cantone Ticino La vicepresidente della Camera di protezione del Tribunale d'appello Emanuela Epiney-Colombo giudice unica ai sensi dell’art. 48 lett. f n. 7 LOG assistita dalla vicecancelliera Perucconi-Bernasconi sedente per statuire nella causa che oppone RE 1 patr. da: PR 2 all’ Autorità regionale di protezione __________ CO 2 patr. da: PR 1 per quanto riguarda la nomina di CURA 1 in qualità di curatore educativo del figlio PI 1 giudicando sul reclamo del 26 settembre 2014 presentato da RE 1 contro la decisione emanata il 26 agosto 2014 dall'Autorità regionale di protezione __________; letti ed esaminati gli atti, ritenuto in fatto e in diritto: che PI 1 (2003) è figlio di CO 2 e RE 1; che i fatti sono noti alla scrivente Camera e a tutte le parti coinvolte; che a seguito della sentenza 8 maggio 2014 del Tribunale Federale che ordinava di procedere alla nomina di un nuovo curatore educativo al minore, mediante decisione 5 giugno 2014 l’Autorità regionale di protezione __________ (in seguito Autorità di protezione), ha nominato la signora __________, __________, __________, in tale veste; che la decisione è stata impugnata da entrambi i genitori; che in data 26 agosto 2014 l’Autorità di protezione ha nominato l’avv. CURA 1 quale curatore di PI 1 per la sua rappresentanza nell’ambito della causa di accertamento della paternità e delle relative conseguenze (“segnatamente in ordine alla procedura relativa al diritto al mantenimento”) pendente in Pretura; che contro quest’ultima decisione è insorto RE 1 con reclamo 26 settembre 2014, ricevuto dalla scrivente Camera il 2 ottobre 2014; che giusta gli art. 450 e 450b CC le decisioni delle Autorità regionali di protezione possono essere impugnate con reclamo davanti al giudice entro trenta giorni dalla comunicazione della decisione; che 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che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 che dal reclamo si evince che RE 1 ha ricevuto la decisione impugnata il 27 agosto 2014. Il termine di trenta giorni per l’inoltro del reclamo scadeva pertanto il 26 settembre 2014 (e non il 27 settembre, come indicato dal reclamante); che il gravame è tuttavia stato inoltrato il 28 settembre 2014 (data del timbro postale); che di conseguenza il reclamo risulta essere tardivo e quindi irricevibile in ordine, per cui la procedura va stralciata dai ruoli; che peraltro al reclamante è stato assegnato un termine scadente il 21 ottobre 2014 (non sospeso dalle ferie giudiziarie) per il versamento di fr. 500.- a titolo di garanzia delle spese processuali presumibili, il cui accredito è avvenuto soltanto il 28 ottobre 2014; che al proposito l’avv. PR 2, che nel frattempo ha assunto il mandato di rappresentare il reclamante, ha chiesto, il 28 ottobre 2014, una proroga fino a venerdi 7 novembre 2014 per poter effettuare il versamento; che la richiesta di proroga è inammissibile, essendo stata presentata dopo la scadenza del termine; che gli oneri processuali del giudizio seguono la soccombenza, per cui tasse e spese vanno poste a carico di RE 1, senza assegnazione di ripetibili, il reclamo non essendo stato intimato per osservazioni. Per questi motivi decide: 1. Il reclamo è irricevibile. 2. Gli oneri del reclamo consistenti in: a) tassa di giustizia    fr.   50.– b) spese                       fr. 50.– fr. 100.– sono posti a carico di RE 1. 3. Notificazione: - - - Comunicazione: - La vicepresidente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