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9.2014.154 vom 6. Oktober 2014</w:t>
      </w:r>
    </w:p>
    <w:p>
      <w:r>
        <w:t>TI Tribunale d'appello, 2014-10-06, IT</w:t>
      </w:r>
    </w:p>
    <w:p>
      <w:r>
        <w:rPr>
          <w:b/>
        </w:rPr>
        <w:t xml:space="preserve">Quelle: </w:t>
      </w:r>
      <w:r>
        <w:t>https://mcp.opencaselaw.ch/entscheid/ti_gerichte_9.2014.154</w:t>
      </w:r>
    </w:p>
    <w:p>
      <w:r>
        <w:t>FR: TI_GERICHTE 9.2014.154 du 6 octobre 2014</w:t>
      </w:r>
    </w:p>
    <w:p>
      <w:r>
        <w:t>IT: TI_GERICHTE 9.2014.154 del 6 ottobre 2014</w:t>
      </w:r>
    </w:p>
    <w:p>
      <w:pPr>
        <w:pStyle w:val="Heading2"/>
      </w:pPr>
      <w:r>
        <w:t>Regeste</w:t>
      </w:r>
    </w:p>
    <w:p>
      <w:r>
        <w:t>Regolamentazione delle relazioni personali; reclamo privo di oggetto per assenza di interesse attuale e pratico, risp. di interesse virtuale</w:t>
      </w:r>
    </w:p>
    <w:p>
      <w:pPr>
        <w:pStyle w:val="Heading2"/>
      </w:pPr>
      <w:r>
        <w:t>Erwägungen</w:t>
      </w:r>
    </w:p>
    <w:p>
      <w:r>
        <w:rPr>
          <w:b/>
        </w:rPr>
        <w:t>E. 3</w:t>
      </w:r>
    </w:p>
    <w:p>
      <w:r>
        <w:t>RE 1 postula la concessione dell’assistenza giudiziaria e del gratuito patrocinio. Ai sensi dell’art. 117 CPC, applicabile su rinvio dell’art. 13 LAG, ha diritto al gratuito patrocinio chiunque sia sprovvisto dei mezzi necessari (lett. a), la cui domanda non appaia priva di probabilità di successo (lett. b). Come visto, nel caso concreto il reclamo – formulato dall’insorgente per ottenere l’annullamento della risoluzione concernente i diritti di visita pasquali – è stato presentato dopo la conclusione del periodo di vacanza in questione. La domanda appariva pertanto di primo acchito votata all’insuccesso. L’istanza tendente alla concessione dell’assistenza giudiziaria e del gratuito patrocinio deve pertanto essere respinta.</w:t>
      </w:r>
    </w:p>
    <w:p>
      <w:r>
        <w:rPr>
          <w:b/>
        </w:rPr>
        <w:t>E. 4</w:t>
      </w:r>
    </w:p>
    <w:p>
      <w:r>
        <w:t>Nel suo allegato di duplica, la controparte CO 2 non si limita a chiedere il rigetto del reclamo di RE 1, bensì formula una serie di richieste di giudizio (peraltro non attinenti alla questione delle ferie pasquali). In particolare, a seguito di alcuni comportamenti di PI 1, chiede che venga fatto divieto al figlio di usare/abusare “ di mezzi tecnici quali smarphone, tablet e computer, perlomeno quando egli si trova all’Istituto __________ ”, subordinatamente che gli sia concesso l’uso “ di un telefono che possa effettuare e ricevere chiamate e messaggi sms, ma che non possa navigare in internet ”, in via ancora più subordinata che gli sia concesso l’uso di tali dispositivi ma “ esclusivamente con l’accompagnamento di un educatore ” (duplica, pag. 5 e 8). Le richieste di CO 2 sono palesemente irricevibili in questa sede. Esse sono semmai da proporre dinnanzi all’Autorità di protezione affinché adotti, se del caso, i relativi provvedimenti.</w:t>
      </w:r>
    </w:p>
    <w:p>
      <w:r>
        <w:rPr>
          <w:b/>
        </w:rPr>
        <w:t>E. 5</w:t>
      </w:r>
    </w:p>
    <w:p>
      <w:r>
        <w:t>Quanto agli oneri processuali, in considerazione della particolarità del caso si rinuncia eccezionalmente al loro prelievo. RE 1 rifonderà a CO 2 fr. 600.- a titolo di ripetibili, ridotte in considerazione delle richieste di giudizio irricevibili proposte nella duplica. Visto l'esito della vertenza e il diritto a ripetibili, la domanda di assistenza giudiziaria formulata da CO 2 deve essere considerata priva di oggetto (cfr. STF del 18 luglio 2012, inc. 2C_182/2012, consid. 6.3; STF del 7 agosto 2009, inc. 5A_389/2009,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