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81.2012.228 vom 21. August 2013</w:t>
      </w:r>
    </w:p>
    <w:p>
      <w:r>
        <w:t>TI Tribunale d'appello, 2013-08-21, IT</w:t>
      </w:r>
    </w:p>
    <w:p>
      <w:r>
        <w:rPr>
          <w:b/>
        </w:rPr>
        <w:t xml:space="preserve">Quelle: </w:t>
      </w:r>
      <w:r>
        <w:t>https://mcp.opencaselaw.ch/entscheid/ti_gerichte_81.2012.228</w:t>
      </w:r>
    </w:p>
    <w:p>
      <w:r>
        <w:t>FR: TI_GERICHTE 81.2012.228 du 21 août 2013</w:t>
      </w:r>
    </w:p>
    <w:p>
      <w:r>
        <w:t>IT: TI_GERICHTE 81.2012.228 del 21 agosto 2013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LTG;</w:t>
      </w:r>
    </w:p>
    <w:p>
      <w:r>
        <w:t>al termine dellodierno dibattimento e dopo avere motivato oralmente la decisione,</w:t>
      </w:r>
    </w:p>
    <w:p>
      <w:r>
        <w:t>pronuncia1.     IM 1 è autore colpevole di danneggiamento (art. 144 cpv. 1 CP) e ripetuta violazione di domicilio (art. 186 CP) per i fatti descritti nel decreto daccusa a suo carico.</w:t>
      </w:r>
    </w:p>
    <w:p>
      <w:r>
        <w:t>2.     Di conseguenza  IM 1 è condannato:</w:t>
      </w:r>
    </w:p>
    <w:p>
      <w:r>
        <w:t>2.1.  Alla pena pecuniaria di 10 (dieci) aliquote giornaliere da CHF 30.- (trenta), per un totale di CHF 300.- (trecento).</w:t>
      </w:r>
    </w:p>
    <w:p>
      <w:r>
        <w:t>2.1.1. Lesecuzione della pena è sospesa condizionalmente per un periodo di prova di 2 (due) anni.</w:t>
      </w:r>
    </w:p>
    <w:p>
      <w:r>
        <w:t>2.2. Alla multa di CHF 200.- (duecento).</w:t>
      </w:r>
    </w:p>
    <w:p>
      <w:r>
        <w:t>2.2.1. in caso di mancato pagamento la pena detentiva sostitutiva è fissata in 7 (sette) giorni (art. 106 cpv. 2 CP).</w:t>
      </w:r>
    </w:p>
    <w:p>
      <w:r>
        <w:t>2.3.  Al pagamento delle tasse e spese giudiziarie di complessivi CHF 400.- (quattrocento).</w:t>
      </w:r>
    </w:p>
    <w:p>
      <w:r>
        <w:t>2.3.1. La motivazione della sentenza comporterà un aumento della tassa di giustizia pari a CHF 500.- (cinquecento), da porre a carico di ogni parte che ne facesse richiesta.</w:t>
      </w:r>
    </w:p>
    <w:p>
      <w:r>
        <w:t>3.    La condanna verrà iscritta a casellario giudiziale e sarà eliminata trascorso il periodo previsto dallart. 369 CP.</w:t>
      </w:r>
    </w:p>
    <w:p>
      <w:r>
        <w:t>4.     Laccusatrice privata è rinviata al competente foro civile per le pretese di relativa natura (art. 353 cpv. 2 CPP).</w:t>
      </w:r>
    </w:p>
    <w:p>
      <w:r>
        <w:t>5.     Questo giudizio può essere impugnato mediante appello; lo stesso va annunciato alla Pretura penale entro dieci giorni dalla comunicazione della sentenza, per iscritto oppure oralmente a verbale. Entro lo stesso termine può essere chiesta la motivazione della sentenza.</w:t>
      </w:r>
    </w:p>
    <w:p>
      <w:r>
        <w:t>6.     Intimazione a:</w:t>
      </w:r>
    </w:p>
    <w:p>
      <w:r>
        <w:t>-    seduta stante</w:t>
      </w:r>
    </w:p>
    <w:p>
      <w:r>
        <w:t>Ascona,</w:t>
      </w:r>
    </w:p>
    <w:p>
      <w:r>
        <w:t>-    per raccomandata</w:t>
      </w:r>
    </w:p>
    <w:p>
      <w:r>
        <w:t>,</w:t>
      </w:r>
    </w:p>
    <w:p>
      <w:r>
        <w:t>, , ,</w:t>
      </w:r>
    </w:p>
    <w:p>
      <w:r>
        <w:t>-    alla crescita in giudicato</w:t>
      </w:r>
    </w:p>
    <w:p>
      <w:r>
        <w:t>Comando della Polizia Cantonale, Bellinzona</w:t>
      </w:r>
    </w:p>
    <w:p>
      <w:r>
        <w:t>Ufficio del Giudice dei provvedimenti coercitivi, Lugano</w:t>
      </w:r>
    </w:p>
    <w:p>
      <w:r>
        <w:t>Servizio di coordinamento cantonale in materia di casellario giudiziale, Bellinzona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di  IM 1</w:t>
      </w:r>
    </w:p>
    <w:p>
      <w:r>
        <w:t>CHF                        200.-          multa</w:t>
      </w:r>
    </w:p>
    <w:p>
      <w:r>
        <w:t>CHF                        200.-tassa di giustizia</w:t>
      </w:r>
    </w:p>
    <w:p>
      <w:r>
        <w:t>CHF                        200.-          spese giudiziarie</w:t>
      </w:r>
    </w:p>
    <w:p>
      <w:r>
        <w:t>CHF                        600.-totale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