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81.2012.220 vom 2. Juli 2013</w:t>
      </w:r>
    </w:p>
    <w:p>
      <w:r>
        <w:t>TI Tribunale d'appello, 2013-07-02, IT</w:t>
      </w:r>
    </w:p>
    <w:p>
      <w:r>
        <w:rPr>
          <w:b/>
        </w:rPr>
        <w:t xml:space="preserve">Quelle: </w:t>
      </w:r>
      <w:r>
        <w:t>https://mcp.opencaselaw.ch/entscheid/ti_gerichte_81.2012.220</w:t>
      </w:r>
    </w:p>
    <w:p>
      <w:r>
        <w:t>FR: TI_GERICHTE 81.2012.220 du 2 juillet 2013</w:t>
      </w:r>
    </w:p>
    <w:p>
      <w:r>
        <w:t>IT: TI_GERICHTE 81.2012.220 del 2 luglio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Alla multa di fr. 200.-, ritenuto che in caso di mancato pagamento, sarà sostituita con una pena detentiva di giorni 2.</w:t>
      </w:r>
    </w:p>
    <w:p>
      <w:r>
        <w:rPr>
          <w:b/>
        </w:rPr>
        <w:t>E. 3</w:t>
      </w:r>
    </w:p>
    <w:p>
      <w:r>
        <w:t>Al pagamento della tassa di giustizia di fr. 100.- e delle spese giudiziarie di fr. 100.-.</w:t>
      </w:r>
    </w:p>
    <w:p>
      <w:r>
        <w:rPr>
          <w:b/>
        </w:rPr>
        <w:t>E. 4</w:t>
      </w:r>
    </w:p>
    <w:p>
      <w:r>
        <w:t>La condanna verrà iscritta a casellario giudiziale. rilevato                              che il difensore chiede il proscioglimento del suo patrocinato, non sussistendo gli elementi oggettivi del reato imputatogli, vista l’inattendibilità del teste così come l’inconsistenza del certificato medico; richiamati                          gli art. 42 e segg., 123 CP; 80 e segg., 84 e segg., 348 e segg., 422 e segg. CPP; 22 LTG; al termine dell’odierno dibattimento e dopo aver motivato oralmente la decisione;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