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81.2012.181 vom 3. September 2013</w:t>
      </w:r>
    </w:p>
    <w:p>
      <w:r>
        <w:t>TI Tribunale d'appello, 2013-09-03, IT</w:t>
      </w:r>
    </w:p>
    <w:p>
      <w:r>
        <w:rPr>
          <w:b/>
        </w:rPr>
        <w:t xml:space="preserve">Quelle: </w:t>
      </w:r>
      <w:r>
        <w:t>https://mcp.opencaselaw.ch/entscheid/ti_gerichte_81.2012.181</w:t>
      </w:r>
    </w:p>
    <w:p>
      <w:r>
        <w:t>FR: TI_GERICHTE 81.2012.181 du 3 septembre 2013</w:t>
      </w:r>
    </w:p>
    <w:p>
      <w:r>
        <w:t>IT: TI_GERICHTE 81.2012.181 del 3 settembre 2013</w:t>
      </w:r>
    </w:p>
    <w:p>
      <w:pPr>
        <w:pStyle w:val="Heading2"/>
      </w:pPr>
      <w:r>
        <w:t>Erwägungen</w:t>
      </w:r>
    </w:p>
    <w:p>
      <w:r>
        <w:rPr>
          <w:b/>
        </w:rPr>
        <w:t>E. 8</w:t>
      </w:r>
    </w:p>
    <w:p>
      <w:r>
        <w:t>Vista quanto appena esposto, occorre ora procedere con la commisurazione della pena.</w:t>
      </w:r>
    </w:p>
    <w:p>
      <w:r>
        <w:rPr>
          <w:b/>
        </w:rPr>
        <w:t>E. 8.1</w:t>
      </w:r>
    </w:p>
    <w:p>
      <w:r>
        <w:t>Giusta l’art. 34 cpv. 1 CP il giudice stabilisce il numero delle aliquote giornaliere commisurandolo alla colpevolezza dell’autore; l’art. 47 CP precisa poi che il giudice commisura la pena alla colpa dell’autore, tenendo conto della vita anteriore e delle condizioni personali dell’autore, nonché dell’effetto che la pena avrà sulla sua vita (cpv. 1), ritenuto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Secondo la giurisprudenza, il criterio essenziale per la commisurazione della pena è quello della gravità della colpa, per la cui valutazione entrano in considerazione diversi fattori. Da una parte quelli relativi al fatto incriminato: in particolare,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ad una banda e la recidiva. Dall’altra, quelli afferenti alla personalità del reo: vale a dire, il suo vissuto precedente, le sue difficoltà personali o psicologiche, il comportamento tenuto dopo l’infrazione (collaborazione, pentimento, volontà di emendamento), la situazione familiare e professionale dell’autore, l’educazione da lui ricevuta e la formazione seguita, l’integrazione sociale, gli eventuali precedenti penali e la reputazione in genere (cfr. DTF 129 IV 6, 20-21, consid. 6.1; DTF 124 IV 44, 47 consid. 2d; cfr. pure CCRP 28.04.2005, inc. n. 17.2002.58/66, consid. 5b e c, giurisprudenza emessa in relazione all’art. 63 vCP, pacificamente applicabile anche sotto l’egida del nuovo diritto, non avendo la novella legislativa nella sostanza modificato i criteri fondamentali di fissazione della pena previsti dalla previgente normativa, cfr. FF 1999, pag. 1704, cfr. pure Stratenwerth/ Wohlers , Schweizerisches Strafgesetzbuch, Handkommentar, 2 a ed. 2009, ad art. 47 CP, n. 4 e Dupuis et al. , Petit commentaire, Code pénal, 2012, ad. art. 47 CP, n. 1), non potendo trascurare, inoltre, la sensibilità personale all’espiazione della pena ( Strafempfindlichkeit ) per rapporto allo stato di salute, all’età, ai rischi di recidiva ecc. (DTF 102 IV 231; STF 19.04.2007, inc. n. 6B.14/2007). Il giudice dovrà prendere in considerazione il grado di lesione o esposizione a pericolo del bene giuridico offeso nonché la reprensibilità dell’offesa, elementi che la giurisprudenza designava con l’espressione di “ risultato dell’attività illecita ” rispettivamente “ modo di esecuzione ” (DTF 129 IV 6). Sotto il profilo soggettivo, la norma rinvia ai moventi e agli obiettivi perseguiti che corrispondono ai motivi a delinquere del vecchio diritto, nonché la possibilità che l’autore aveva di evitare l’esposizione a pericolo o la lesione riferendosi in quest’ultimo caso alla libertà dell’autore di decidersi a favore della legalità e contro la legalità (DTF 127 IV 101). In relazione a quest’ultimo criterio, il legislatore impone al giudice di tener conto della situazione personale dell’autore e delle circostanze esterne. La situazione personale può, senza che vi sia un reperto patologico nel senso dell’art. 19 CP, turbare la capacità di valutare il carattere illecito dell’atto. Le circostanze esterne si riferiscono per esempio a situazioni di emergenza o di tentazione che non siano così pronunciate da giustificare un’attenuazione della pena (FF 1999 1745; cfr. pure STF 12.03.2008, inc. n. 6B_370/2007, consid. 2.2). Nella commisurazione della pena, così come nella determinazione dell’aliquota giornaliera il giudice del merito fruisce di ampia autonomia (CCRP del 13.05.2010, inc. 17.2009.50, consid. 3.3a e 4.2b). Per quanto attiene all’ammontare dell’aliquota, va detto che giusta l’art. 34 cpv. 2 CP un’aliquota giornaliera ammonta al massimo a fr. 3'000.- 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(DTF 134 IV 60, consid. 6; STF 11.01.2010, inc. n. 6B_867/2010 consid. 3.1, pag. 3).</w:t>
      </w:r>
    </w:p>
    <w:p>
      <w:r>
        <w:rPr>
          <w:b/>
        </w:rPr>
        <w:t>E. 8.2</w:t>
      </w:r>
    </w:p>
    <w:p>
      <w:r>
        <w:t>In base all’art. 42 cpv. 4 CP, oltre alla pena condizionalmente sospesa, il giudice può infliggere una pena pecuniaria o una multa ai sensi dell’art. 106 CP, ritenuto che il giudice commisura la multa alle condizioni dell’autore, in modo che questi sconti una pena adeguata alla sua colpevolezza (art. 106 cpv. 3 CP). Il Tribunale federale ha avuto modo di precisare che il giudice può decidere di pronunciare, in aggiunta ad una pena sospesa condizionalmente, una pena pecuniaria effettiva o una multa ai sensi dell’art. 106 CP sia per infliggere una sanzione rappresentativa, sia per accrescere il potenziale coercitivo relativamente debole della pena pecuniaria sospesa condizionalmente, in un’ottica di prevenzione generale e speciale, quale monito indirizzato al condannato per renderlo attento alla serietà della situazione e alle conseguenze future nel caso non modificasse i suoi comportamenti (STF 13.05.2008, inc. n. 6B_152/2007, consid. 7.1.1; STF 17.03.2008, inc. n. 6B_366/2007, consid. 7.3). Dato che la pena va commisurata alla colpa del reo, il Tribunale federale ha precisato che la combinazione delle due pene permette soltanto di stabilire una pena adeguata alla gravità dei fatti e alla personalità dell’autore. L’applicazione dell’art. 42 cpv. 4 CP non può, in quest’ottica, condurre ad un aggravamento della pena complessiva né permettere una pena supplementare; le pene combinate devono pertanto, prese complessivamente, essere adeguate alla colpa dell’autore (DTF 134 IV 1; STF 13.05.2008, inc. n. 6B_152/2007, consid. 7.1.2). Sempre secondo il Tribunale federale, per tener conto del carattere accessorio delle pene cumulate, si giustifica in linea di principio di fissare il loro limite superiore a un quinto delle pene di base (DTF 135 IV 188, consid. 3.4.4.; CARP 26.10.2011, inc. n. 17.2011.81, consid. 9.2); il tasso di conversione per la trasformazione della multa in pena privativa della libertà di sostituzione, è, infine, l’importo dell’aliquota giornaliera (STF 13.05.2008, inc. n. 6B_152/2007, consid. 7.1.3; cfr. pure CCRP 16.09.2008 e PP 31.05.2007, inc. n. 10.06.448).</w:t>
      </w:r>
    </w:p>
    <w:p>
      <w:r>
        <w:rPr>
          <w:b/>
        </w:rPr>
        <w:t>E. 8.3</w:t>
      </w:r>
    </w:p>
    <w:p>
      <w:r>
        <w:t>Tutto ben ponderato, tenuto altresì conto degli accertamenti economici e personali (cfr. in particolare la situazione patrimoniale dell’accusato agli atti), si ritiene che una pena pecuniaria di 10 aliquote giornaliere da fr. 170.- cadauna, sospesa condizionalmente per un periodo di prova di due anni – in assenza di elementi tali da far ritenere un rischio di recidiva particolare (cfr. CARP 25.07.2013, inc. n. 17.2013.89, consid. 11) – oltre alla multa aggiuntiva di fr. 340.-, sia confacentemente proporzionata alla gravità del reato commesso e rettamente commisurata al grado di colpa. Per questi motivi, richiamati                          gli art. 27 cpv. 1, 32 cpv. 2 e 3, 90 cifra 2 LCStr.; 4a cpv. 1 lett. a, cpv. 2 e 3 ONC; art. 22 cpv. 1 OSS; 34, 42, 47, 106 CP; 80 e segg., 84 e segg., 348 e segg., 422 e segg. CPP; 22 LTG; pronuncia 1.     IM 1 è autore colpevole di infrazione grave alle norme della circolazione, per aver violato gravemente le norme medesime cagionando un serio pericolo per la sicurezza altrui, in particolare per aver circolato con la vettura __________ targata TI __________ alla velocità di 75 Km/h. (dedotto il margine di tolleranza) accertata dalla Polizia mediante apparecchio radar, malgrado il vigente limite di 50 Km/h. 2.     Di conseguenza IM 1 è condannato: 2.1.  alla pena pecuniaria di</w:t>
      </w:r>
    </w:p>
    <w:p>
      <w:r>
        <w:rPr>
          <w:b/>
        </w:rPr>
        <w:t>E. 10</w:t>
      </w:r>
    </w:p>
    <w:p>
      <w:r>
        <w:t>giorni dalla comunicazione della sentenza, per scritto oppure oralmente a verbale. Entro lo stesso termine può essere chiesta la motivazione della sentenza. 4.     Intimazione a: IM 1 . terzi implicati P_GLOSS_TERZI La giudice:                                                                               La segretaria: Distinta spese               a carico di IM 1IM 1 fr.                            340.-          multa fr. 700.- tassa di giustizia fr.                            150.-          spese giudiziarie fr. 1'190.-          totale Avvertenza: la parte che ha annunciato ricorso in appello deve inoltrare una dichiarazione  scritta d’appello alla Corte di appello e di revisione penale, in conformità dell’art. 399 cpv. 3 e 4 CPP, entro venti giorni dalla notificazione di questa sentenza motivata.</w:t>
      </w:r>
    </w:p>
    <w:p>
      <w:r>
        <w:rPr>
          <w:b/>
        </w:rPr>
        <w:t>E. 47</w:t>
      </w:r>
    </w:p>
    <w:p>
      <w:r>
        <w:t>CP, n. 4 eDupuis et al., Petit commentaire, Code pénal, 2012, ad. art. 47 CP, n. 1), non potendo trascurare, inoltre, la sensibilità personale allespiazione della pena (Strafempfindlichkeit) per rapporto allo stato di salute, alletà, ai rischi di recidiva ecc. (DTF 102 IV 231; STF 19.04.2007, inc. n. 6B.14/2007).</w:t>
      </w:r>
    </w:p>
    <w:p>
      <w:r>
        <w:t>Il giudice dovrà prendere in considerazione il grado di lesione o esposizione a pericolo del bene giuridico offeso nonché la reprensibilità delloffesa, elementi che la giurisprudenza designava con lespressione di risultato dellattività illecita rispettivamente modo di esecuzione (DTF 129 IV 6). Sotto il profilo soggettivo, la norma rinvia ai moventi e agli obiettivi perseguiti che corrispondono ai motivi a delinquere del vecchio diritto, nonché la possibilità che lautore aveva di evitare lesposizione a pericolo o la lesione riferendosi in questultimo caso alla libertà dellautore di decidersi a favore della legalità e contro la legalità (DTF 127 IV 101). In relazione a questultimo criterio, il legislatore impone al giudice di tener conto della situazione personale dellautore e delle circostanze esterne. La situazione personale può, senza che vi sia un reperto patologico nel senso dellart. 19 CP, turbare la capacità di valutare il carattere illecito dellatto. Le circostanze esterne si riferiscono per esempio a situazioni di emergenza o di tentazione che non siano così pronunciate da giustificare unattenuazione della pena (FF 1999 1745; cfr. pure STF 12.03.2008, inc. n. 6B_370/2007, consid. 2.2).</w:t>
      </w:r>
    </w:p>
    <w:p>
      <w:r>
        <w:t>Nella commisurazione della pena, così come nella determinazione dellaliquota giornaliera il giudice del merito fruisce di ampia autonomia (CCRP del 13.05.2010, inc. 17.2009.50, consid. 3.3a e 4.2b).</w:t>
      </w:r>
    </w:p>
    <w:p>
      <w:r>
        <w:t>Per quanto attiene allammontare dellaliquota, va detto che giusta lart. 34cpv. 2 CP unaliquota giornaliera ammonta al massimo a fr. 3'000.- e il giudice ne fissa limporto secondo la situazione personale ed economica dellautore al momento della pronuncia della sentenza, tenendo segnatamente conto del suo reddito e della sua sostanza, del suo tenore di vita, dei suoi obblighi famigliari e assistenziali e del minimo vitale (DTF 134 IV 60, consid. 6; STF 11.01.2010, inc. n. 6B_867/2010 consid. 3.1, pag. 3).</w:t>
      </w:r>
    </w:p>
    <w:p>
      <w:r>
        <w:t>8.2.In base allart. 42 cpv. 4 CP, oltre alla pena condizionalmente sospesa, il giudice può infliggere una pena pecuniaria o una multa ai sensi dellart. 106 CP, ritenuto che il giudice commisura la multa alle condizioni dellautore, in modo che questi sconti una pena adeguata alla sua colpevolezza (art. 106 cpv. 3 CP).</w:t>
      </w:r>
    </w:p>
    <w:p>
      <w:r>
        <w:t>Il Tribunale federale ha avuto modo di precisare che il giudice può decidere di pronunciare, in aggiunta ad una pena sospesa condizionalmente, una pena pecuniaria effettiva o una multa ai sensi dellart. 106 CP sia per infliggere una sanzione rappresentativa, sia per accrescere il potenziale coercitivo relativamente debole della pena pecuniaria sospesa condizionalmente, in unottica di prevenzione generale e speciale, quale monito indirizzato al condannato per renderlo attento alla serietà della situazione e alle conseguenze future nel caso non modificasse i suoi comportamenti (STF 13.05.2008, inc. n. 6B_152/2007, consid. 7.1.1; STF 17.03.2008, inc. n. 6B_366/2007, consid. 7.3).</w:t>
      </w:r>
    </w:p>
    <w:p>
      <w:r>
        <w:t>Dato che la pena va commisurata alla colpa del reo, il Tribunale federale ha precisato che la combinazione delle due pene permette soltanto di stabilire una pena adeguata alla gravità dei fatti e alla personalità dellautore.</w:t>
      </w:r>
    </w:p>
    <w:p>
      <w:r>
        <w:t>Lapplicazione dellart. 42 cpv. 4 CP non può, in questottica, condurre ad un aggravamento della pena complessiva né permettere una pena supplementare; le pene combinate devono pertanto, prese complessivamente, essere adeguate alla colpa dellautore (DTF 134 IV 1; STF 13.05.2008, inc. n. 6B_152/2007, consid. 7.1.2).</w:t>
      </w:r>
    </w:p>
    <w:p>
      <w:r>
        <w:t>Sempre secondo il Tribunale federale, per tener conto del carattere accessorio delle pene cumulate, si giustifica in linea di principio di fissare il loro limite superiore a un quinto delle pene di base (DTF 135 IV 188, consid. 3.4.4.; CARP 26.10.2011, inc. n. 17.2011.81, consid. 9.2); il tasso di conversione per la trasformazione della multa in pena privativa della libertà di sostituzione, è, infine, limporto dellaliquota giornaliera (STF 13.05.2008, inc. n. 6B_152/2007, consid. 7.1.3; cfr. pure CCRP 16.09.2008 e PP 31.05.2007, inc. n. 10.06.448).</w:t>
      </w:r>
    </w:p>
    <w:p>
      <w:r>
        <w:t>8.3.Tutto ben ponderato, tenuto altresì conto degli accertamenti economici e personali (cfr. in particolare la situazione patrimoniale dellaccusato agli atti), si ritiene che una pena pecuniaria di 10 aliquote giornaliere da fr. 170.- cadauna, sospesa condizionalmente per un periodo di prova di due anni  in assenza di elementi tali da far ritenere un rischio di recidiva particolare (cfr. CARP 25.07.2013, inc. n. 17.2013.89, consid. 11)  oltre alla multa aggiuntiva di fr.340.-, sia confacentemente proporzionata alla gravità del reato commesso e rettamente commisurata al grado di colpa.</w:t>
      </w:r>
    </w:p>
    <w:p>
      <w:r>
        <w:t>Per questi motivi,</w:t>
      </w:r>
    </w:p>
    <w:p>
      <w:r>
        <w:t>richiamati                          gli art. 27 cpv. 1, 32 cpv. 2 e 3, 90 cifra 2 LCStr.; 4a cpv. 1 lett. a, cpv. 2 e 3 ONC; art. 22 cpv. 1 OSS; 34, 42, 47, 106 CP; 80 e segg., 84 e segg., 348 e segg., 422 e segg. CPP; 22 LTG;</w:t>
      </w:r>
    </w:p>
    <w:p>
      <w:r>
        <w:t>pronuncia1.     IM 1 è autore colpevole di infrazione grave alle norme della circolazione, per aver violato gravemente le norme medesime cagionando un serio pericolo per la sicurezza altrui, in particolare per aver circolato con la vettura __________ targata TI __________ alla velocità di 75 Km/h. (dedotto il margine di tolleranza) accertata dalla Polizia mediante apparecchio radar, malgrado il vigente limite di 50 Km/h.</w:t>
      </w:r>
    </w:p>
    <w:p>
      <w:r>
        <w:t>2.     Di conseguenza IM 1 è condannato:</w:t>
      </w:r>
    </w:p>
    <w:p>
      <w:r>
        <w:t>2.1.  alla pena pecuniaria di 10 (dieci) aliquote giornaliere di fr. 170.- (centosettanta), per un totale di fr. 1'700.- (millesettecento).</w:t>
      </w:r>
    </w:p>
    <w:p>
      <w:r>
        <w:t>2.1.1. lesecuzione della pena è sospesa condizionalmente per un periodo di prova di 2 (due) anni.</w:t>
      </w:r>
    </w:p>
    <w:p>
      <w:r>
        <w:t>2.2. alla multa di fr. 340.- (trecentoquaranta);</w:t>
      </w:r>
    </w:p>
    <w:p>
      <w:r>
        <w:t>2.2.1. in caso di mancato pagamento la pena detentiva sostitutiva è fissata in 2 (due) giorni (art. 106 cpv. 2 CP).</w:t>
      </w:r>
    </w:p>
    <w:p>
      <w:r>
        <w:t>2.3.  al pagamento delle tasse e spese giudiziarie di complessivi fr. 850.- (ottocentocinquanta) con motivazione scritta e di fr. 450.- (quattrocentocinquanta) senza motivazione scritta.</w:t>
      </w:r>
    </w:p>
    <w:p>
      <w:r>
        <w:t>3.     Questo giudizio può essere impugnato mediante appello; lo stesso va annunciato alla Pretura penale entro 10 giorni dalla comunicazione della sentenza, per scritto oppure oralmente a verbale. Entro lo stesso termine può essere chiesta la motivazione della sentenza.</w:t>
      </w:r>
    </w:p>
    <w:p>
      <w:r>
        <w:t>4.     Intimazione a:</w:t>
      </w:r>
    </w:p>
    <w:p>
      <w:r>
        <w:t>IM 1</w:t>
      </w:r>
    </w:p>
    <w:p>
      <w:r>
        <w:t>.</w:t>
      </w:r>
    </w:p>
    <w:p>
      <w:r>
        <w:t>La giudice:                                                                               La segretaria:</w:t>
      </w:r>
    </w:p>
    <w:p>
      <w:r>
        <w:t>Distinta spese               a carico di IM 1IM 1</w:t>
      </w:r>
    </w:p>
    <w:p>
      <w:r>
        <w:t>fr.                            340.-          multa</w:t>
      </w:r>
    </w:p>
    <w:p>
      <w:r>
        <w:t>fr.700.-tassa di giustizia</w:t>
      </w:r>
    </w:p>
    <w:p>
      <w:r>
        <w:t>fr.                            150.-          spese giudiziarie</w:t>
      </w:r>
    </w:p>
    <w:p>
      <w:r>
        <w:t>fr.1'190.-          totale</w:t>
      </w:r>
    </w:p>
    <w:p>
      <w:r>
        <w:t>Avvertenza:la parte che ha annunciato ricorso in appello deve inoltrare una dichiarazione  scritta dappello alla Corte di appello e di revisione penale, in conformità dellart. 399 cpv. 3 e 4 CPP, entro venti giorni dalla notificazione di questa sentenza motivata.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