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80.2025.75</w:t>
      </w:r>
    </w:p>
    <w:p>
      <w:r>
        <w:t>TI Tribunale d'appello, IT</w:t>
      </w:r>
    </w:p>
    <w:p>
      <w:r>
        <w:rPr>
          <w:b/>
        </w:rPr>
        <w:t xml:space="preserve">Quelle: </w:t>
      </w:r>
      <w:r>
        <w:t>https://mcp.opencaselaw.ch/entscheid/ti_gerichte_80.2025.75</w:t>
      </w:r>
    </w:p>
    <w:p>
      <w:pPr>
        <w:pStyle w:val="Heading2"/>
      </w:pPr>
      <w:r>
        <w:t>Erwägungen</w:t>
      </w:r>
    </w:p>
    <w:p>
      <w:r>
        <w:rPr>
          <w:b/>
        </w:rPr>
        <w:t>E. 13</w:t>
      </w:r>
    </w:p>
    <w:p>
      <w:r>
        <w:t>ottobre 2010 consid. 2.1).</w:t>
      </w:r>
    </w:p>
    <w:p>
      <w:r>
        <w:t>4.3.</w:t>
      </w:r>
    </w:p>
    <w:p>
      <w:r>
        <w:t>Le norme appena citate esigono che il contribuente apporti la prova della manifesta inesattezza della tassazione dufficio e richiede espressamente che il reclamo sia motivato e indichi eventuali mezzi di prova (art. 206 cpv. 3 LT; art. 132 cpv. 3 LIFD). Tali requisiti del reclamo rappresentano non meri presupposti sostanziali per la rimozione della tassazione per apprezzamento, bensì prescrizioni di validità del gravame, in mancanza dei quali lautorità non deve neppure entrare nel merito (DTF 123 II 552).</w:t>
      </w:r>
    </w:p>
    <w:p>
      <w:r>
        <w:t>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w:t>
      </w:r>
    </w:p>
    <w:p>
      <w:r>
        <w:t>4.4.</w:t>
      </w:r>
    </w:p>
    <w:p>
      <w:r>
        <w:t>Secondo la giurisprudenza della Suprema Corte, la prova della manifesta inesattezza può essere portata in due modi:</w:t>
      </w:r>
    </w:p>
    <w:p>
      <w:r>
        <w:t>·in primo luogo, il contribuente può produrre i mezzi di prova necessari a sovvertire lincertezza in merito alla situazione effettiva, consentendo in tal modo il corretto accertamento degli elementi imponibili. In questo caso, la tassazione dufficiocontestata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w:t>
      </w:r>
    </w:p>
    <w:p>
      <w:r>
        <w:t>·in secondo luogo, il contribuente può anche provare che la tassazione impugnata è palesemente eccessiva (cfr. sentenza TF n. 2C_6/2011 del 16 maggio 2011 consid. 3.1 e giurisprudenza citata).</w:t>
      </w:r>
    </w:p>
    <w:p>
      <w:r>
        <w:t>- municipio di .</w:t>
      </w:r>
    </w:p>
    <w:p>
      <w:r>
        <w:t>per la Camera di diritto tributario del Tribunale dappello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