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80.2023.73 vom 14. April 2023</w:t>
      </w:r>
    </w:p>
    <w:p>
      <w:r>
        <w:t>TI Tribunale d'appello, 2023-04-14, IT</w:t>
      </w:r>
    </w:p>
    <w:p>
      <w:r>
        <w:rPr>
          <w:b/>
        </w:rPr>
        <w:t xml:space="preserve">Quelle: </w:t>
      </w:r>
      <w:r>
        <w:t>https://mcp.opencaselaw.ch/entscheid/ti_gerichte_80.2023.73</w:t>
      </w:r>
    </w:p>
    <w:p>
      <w:r>
        <w:t>FR: TI_GERICHTE 80.2023.73 du 14 avril 2023</w:t>
      </w:r>
    </w:p>
    <w:p>
      <w:r>
        <w:t>IT: TI_GERICHTE 80.2023.73 del 14 aprile 2023</w:t>
      </w:r>
    </w:p>
    <w:p>
      <w:pPr>
        <w:pStyle w:val="Heading2"/>
      </w:pPr>
      <w:r>
        <w:t>Regeste</w:t>
      </w:r>
    </w:p>
    <w:p>
      <w:r>
        <w:t>Procedura: revisione, imposta sulla sostanza, errore nella compilazione dell’elenco titoli, capitale indicato due volte</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la ricorrente non misconosce di aver commesso un errore di dichiarazione, tuttavia adduce quale motivo di revisione che l’autorità fiscale non avrebbe tenuto conto di fatti rilevanti, che conosceva o doveva conoscere.</w:t>
      </w:r>
    </w:p>
    <w:p>
      <w:r>
        <w:rPr>
          <w:b/>
        </w:rPr>
        <w:t>E. 2.2</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al contribuente spetta sempre e comunque l’incombenza di controllare la decisione di tassazione al momento in cui la riceve e di sollevare le proprie censure tramite i rimedi giuridici ordinari.</w:t>
      </w:r>
    </w:p>
    <w:p>
      <w:r>
        <w:rPr>
          <w:b/>
        </w:rPr>
        <w:t>E. 2.3</w:t>
      </w:r>
    </w:p>
    <w:p>
      <w:r>
        <w:t>Con una recente sentenza (2C_960/2021 del 10 dicembre 2021), il Tribunale federale ha respinto il ricorso di due contribuenti ticinesi, che per ben cinque periodi fiscali, avevano omesso di chiedere la deduzione degli “oneri assicurativi” (premi per l’assicurazione contro le malattie). Ricordato che la revisione è esclusa anche in caso di errore nella dichiarazione d’imposta dovuto a una negligenza del contribuente o del suo rappresentante, la Suprema Corte ha rilevato che lo stesso vale quando il vizio denunciato con istanza di revisione avrebbe potuto essere constatato con facilità al momento del ricevimento della decisione di tassazione e quindi fatto valere per mezzo della presentazione di un reclamo al fisco. La revisione non serve in effetti a correggere errori o mancanze che hanno caratterizzato la procedura di tassazione e che potevano essere denunciati già in quella sede (consid. 2.2 e giurisprudenza citata). Sottolineato come tali principi vadano applicati con rigore, per garantire la distinzione tra i rimedi ordinari di ricorso e quello sussidiario della revisione, salvaguardando la sicurezza del diritto (consid. 2.3), la Corte federale ha in particolare rimproverato ai ricorrenti di aver omesso di controllare le decisioni di tassazione loro notificate, ciò che gli avrebbe permesso di appurare che le deduzioni non erano state concesse e di contestare le tassazioni con i mezzi di impugnazione ordinari (consid. 2.3.2).</w:t>
      </w:r>
    </w:p>
    <w:p>
      <w:r>
        <w:rPr>
          <w:b/>
        </w:rPr>
        <w:t>E. 2.4</w:t>
      </w:r>
    </w:p>
    <w:p>
      <w:r>
        <w:t>Ritornando al caso che qui ci occupa, i contribuenti stessi hanno indicato nel modulo 2 della dichiarazione d’imposta di detenere titoli e capitali per complessivi fr. 1'919'218.–, riportando due volte l’importo di fr. 49'033.– di cui al conto __________ detenuto presso __________. Tuttavia, firmando la dichiarazione, che commisurava in fr. 1'919’218.– la sostanza mobiliare in titoli e capitali, i contribuenti hanno confermato che la stessa era stata compilata “in modo completo e veritiero” (art. 124 cpv. 2 LIFD; art. 198 cpv. 2 LT) e si sono in tal modo assunti la responsabilità di eventuali errori, a loro sfavore o a loro favore. A ciò nulla cambia la mancanza attribuita dalla ricorrente all’autorità fiscale. Infatti, i contribuenti avrebbero potuto accorgersi dell’errore di dichiarazione, se non al momento della dichiarazione stessa, perlomeno al momento della notifica della decisione di tassazione. Pertanto, non si può ritenere che gli insorgenti abbiano usato la diligenza che da loro poteva essere ragionevolmente pretesa. R itenuto che ove i contribuenti avessero usato la diligenza richiesta avrebbero potuto far valere già nel corso della procedura ordinaria il motivo addotto in questa sede, non può essere posto rimedio all’errore commesso nella dichiarazione mediante una revisione della decisione di tassazione passata in giudicato (cfr. sentenza del TF 2C_47/2016 e 2C_48/2016 del 22 agosto 2016 consid. 3.3).</w:t>
      </w:r>
    </w:p>
    <w:p>
      <w:r>
        <w:rPr>
          <w:b/>
        </w:rPr>
        <w:t>E. 3</w:t>
      </w:r>
    </w:p>
    <w:p>
      <w:r>
        <w:t>Alla luce di quanto esposto, si deve quindi concludere che, non avendo i contribuenti ottemperato al proprio obbligo di diligenza – ritenuto che in caso contrario avrebbero potuto far valere già nel corso della procedura ordinaria l’errore di dichiarazione – la revisione è da escludere. Di conseguenza, il ricorso dev’essere respinto. La tassa di giustizia e le spese devono essere poste a carico della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della ricorrente. 3.   Contro il present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