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80.2023.265 vom 25. Oktober 2023</w:t>
      </w:r>
    </w:p>
    <w:p>
      <w:r>
        <w:t>TI Tribunale d'appello, 2023-10-25, IT</w:t>
      </w:r>
    </w:p>
    <w:p>
      <w:r>
        <w:rPr>
          <w:b/>
        </w:rPr>
        <w:t xml:space="preserve">Quelle: </w:t>
      </w:r>
      <w:r>
        <w:t>https://mcp.opencaselaw.ch/entscheid/ti_gerichte_80.2023.265</w:t>
      </w:r>
    </w:p>
    <w:p>
      <w:r>
        <w:t>FR: TI_GERICHTE 80.2023.265 du 25 octobre 2023</w:t>
      </w:r>
    </w:p>
    <w:p>
      <w:r>
        <w:t>IT: TI_GERICHTE 80.2023.265 del 25 ottobre 2023</w:t>
      </w:r>
    </w:p>
    <w:p>
      <w:pPr>
        <w:pStyle w:val="Heading2"/>
      </w:pPr>
      <w:r>
        <w:t>Regeste</w:t>
      </w:r>
    </w:p>
    <w:p>
      <w:r>
        <w:t>Procedura: tassazione d’ufficio, reddito dell’attività lucrativa indipendente, criteri di valutazione e calcolo del dispendio non noti, violazione del diritto di essere sentito</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con la decisione impugnata, l’autorità fiscale ha dichiarato irricevibile il reclamo, difettandone i requisiti di validità. In particolare, la reclamante non avrebbe rispettato le condizioni cui la legge subordina l’impugnazione di una tassazione d’ufficio. Di conseguenza, questa Camera si limiterà a verificare se sia legittima la decisione con cui l’autorità fiscale ha dichiarato irricevibile il reclamo interposto dalla contribuente contro la tassazione d’ufficio, mentre le è precluso l’esame del merito della tassazione.</w:t>
      </w:r>
    </w:p>
    <w:p>
      <w:r>
        <w:rPr>
          <w:b/>
        </w:rPr>
        <w:t>E. 2.1</w:t>
      </w:r>
    </w:p>
    <w:p>
      <w:r>
        <w:t>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ed indicare eventuali mezzi di prova (art. 206 cpv. 3 LT), per cui vi è un’inversione dell’onere della prova: non tocca all’autorità dimostrare la correttezza della propria valutazione, bensì all’interessato provare che la stessa è manifestamente inesatta (cfr. ad esempio sentenza del TF 2C_435/2017 del 18 febbraio 2019, consid. 2.1.).</w:t>
      </w:r>
    </w:p>
    <w:p>
      <w:r>
        <w:rPr>
          <w:b/>
        </w:rPr>
        <w:t>E. 2.2</w:t>
      </w:r>
    </w:p>
    <w:p>
      <w:r>
        <w:t>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Il reclamo dev’essere motivato e indicare eventuali mezzi di prova (art. 206 cpv.</w:t>
      </w:r>
    </w:p>
    <w:p>
      <w:r>
        <w:rPr>
          <w:b/>
        </w:rPr>
        <w:t>E. 2.3</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del TF n. 2C_6/2011 del 16 maggio 2011, consid. 3.1 e giurisprudenza citata e n. 2C_259/2021 del 30 novembre 2021, consid. 5.1.2.).</w:t>
      </w:r>
    </w:p>
    <w:p>
      <w:r>
        <w:rPr>
          <w:b/>
        </w:rPr>
        <w:t>E. 3</w:t>
      </w:r>
    </w:p>
    <w:p>
      <w:r>
        <w:t>LT).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(cfr. sentenza del TF n. 2C_404/2019 del 29 gennaio 2020, consid. 2.3. con riferimenti giurisprudenziali).</w:t>
      </w:r>
    </w:p>
    <w:p>
      <w:r>
        <w:rPr>
          <w:b/>
        </w:rPr>
        <w:t>E. 3.1</w:t>
      </w:r>
    </w:p>
    <w:p>
      <w:r>
        <w:t>Contestata nel caso di specie è la determinazione del reddito da attività indipendente dell’insorgente, che l’autorità fiscale ha stabilito per apprezzamento in fr. 45'000.- operando una tassazione d’ufficio. Il fisco ha infatti ritenuto anzitutto che la contribuente svolgesse effettivamente un’attività indipendente nella vendita di cibo d’asporto, unitamente al compagno convivente, senza peraltro fornire alcuna documentazione contabile al riguardo. Dal calcolo delle entrate e delle uscite della ricorrente e del compagno, nei periodi fiscali precedenti sarebbe inoltre emersa una “ insufficiente disponibilità finanziaria ”. Di diverso avviso è la ricorrente, per la quale, invece, quanto dichiarato al fisco sarebbe corretto. Contesta la quantificazione del reddito da attività indipendente, che sarebbe del tutto “impossibile” da conseguire con l’ipotizzata attività svolta.</w:t>
      </w:r>
    </w:p>
    <w:p>
      <w:r>
        <w:rPr>
          <w:b/>
        </w:rPr>
        <w:t>E. 3.2</w:t>
      </w:r>
    </w:p>
    <w:p>
      <w:r>
        <w:t>La tenuta di un libro di cassa è essenziale, soprattutto per le piccole imprese. Chi consegue ricavi principalmente mediante contratti stipulati in modo informale, viene generalmente pagato in contanti e non è tenuto ad emettere regolarmente fatture o almeno ricevute, è obbligato a tenere un libro di cassa. Questo costituisce il fulcro della registrazione. Affinché il libro cassa fornisca la prova della correttezza delle transazioni in contanti registrate, è essenziale che gli incassi e i pagamenti in contanti vi siano registrati in modo continuo, completo e tempestivo e che siano controllati regolarmente - quotidianamente nelle imprese ad alta intensità di contanti - per mezzo di verifiche di cassa. Solo una verifica giornaliera del registratore di cassa garantisce che gli incassi registrati corrispondano alla situazione reale. Il ruolo centrale di un libro di cassa correttamente tenuto è ugualmente importante per tutti i tipi di imposta (sentenza TF 2C_973/2018 del 9 gennaio 2019 consid. 2.4.2 e giurisprudenza citata).</w:t>
      </w:r>
    </w:p>
    <w:p>
      <w:r>
        <w:rPr>
          <w:b/>
        </w:rPr>
        <w:t>E. 3.3</w:t>
      </w:r>
    </w:p>
    <w:p>
      <w:r>
        <w:t>Ora, per quanto emerge dagli atti, l’UT avrebbe avuto conoscenza dell’esistenza dell’attività lucrativa indipendente per effetto di una informazione proveniente dall’Ispettorato fiscale. Quest’ultimo ha inviato all’UT una comunicazione il 27 ottobre 2022, facendo riferimento al food truck “__________” e alle sue attività, sia tramite partecipazione al mercato di __________ sia con prestazioni in occasione di eventi anche privati, quali matrimoni. Riferiva inoltre della raccolta dell’importo di fr. 33'000.- tramite crowdfunding per l’acquisto di un nuovo furgone. L’Ispettorato fiscale aveva anche elaborato il calcolo delle entrate e delle uscite, per la coppia costituita dalla ricorrente e dal suo compagno, con riferimento ai periodi fiscali dal 2016 al 2020, rilevando una carente disponibilità. Lo stesso Ispettorato si era già rivolto alla contribuente, il 24 agosto 2022, comunicandole di essere venuto a conoscenza della sua attività indipendente nell’ambito della “vendita di cibo da asporto ” e invitandola a presentare “bilancio e conto economico o relativi rendiconti per gli anni 2016-2021” . L’invito era stato tuttavia ignorato. Anche l’UT aveva poi indirizzato una richiesta di collaborazione all’insorgente, il 3 novembre 2022, avvertendola che in caso di mancata risposta, “in considerazione dell’insufficienza di disponibilità finanziaria, per gli anni 2016-2020 verrà aperta una procedura di sottrazione d’imposta con l’applicazione della multa massima possibile”. Inoltre, costituendo la lettera in questione una diffida, in caso di mancata collaborazione, le sarebbe stata inflitta una multa per violazione degli obblighi procedurali e sarebbe stata intrapresa una tassazione d’ufficio. Anche questa richiesta è stata ignorata dalla contribuente.</w:t>
      </w:r>
    </w:p>
    <w:p>
      <w:r>
        <w:rPr>
          <w:b/>
        </w:rPr>
        <w:t>E. 3.4</w:t>
      </w:r>
    </w:p>
    <w:p>
      <w:r>
        <w:t>Indipendentemente dal fatto che l’attività in discussione sia stata esercitata dalla ricorrente o anche dal suo compagno, è chiaro che il suo reddito debba essere dichiarato al fisco e assoggettato all’imposta. Anche se si trattasse di un’attività a tempo parziale e/o accessoria rispetto ad una principale, chi consegue un reddito con il suo esercizio è tenuto alla sua dichiarazione. È dunque ineccepibile la richiesta, formulata ai contribuenti prima dall’Ispettorato fiscale e poi dall’UT, di presentare i conti annuali firmati o altri documenti atti a stabilire l’ammontare dei redditi conseguiti. Secondo gli articoli 199 cpv. 2 LT e 125 cpv. 2 LIFD, infatti, le persone fisiche con reddito da attività lucrativa indipendente devono allegare alla dichiarazione d’imposta i conti annuali firmati (conto economico, bilancio e, per le società anonime, l’allegato), per il periodo fiscale in questione, o, in caso di tenuta di una contabilità semplificata secondo l’articolo 957 capoverso 2 CO, le distinte relative alle entrate e alle uscite, alla situazione patrimoniale e ai prelevamenti e apporti privati del periodo fiscale. Come già rilevato, tuttavia, nessuna documentazione è stata fornita.</w:t>
      </w:r>
    </w:p>
    <w:p>
      <w:r>
        <w:rPr>
          <w:b/>
        </w:rPr>
        <w:t>E. 3.5</w:t>
      </w:r>
    </w:p>
    <w:p>
      <w:r>
        <w:t>Nelle condizioni descritte, l’autorità di tassazione non poteva che procedere ad una tassazione d’ufficio.</w:t>
      </w:r>
    </w:p>
    <w:p>
      <w:r>
        <w:rPr>
          <w:b/>
        </w:rPr>
        <w:t>E. 4.1</w:t>
      </w:r>
    </w:p>
    <w:p>
      <w:r>
        <w:t>Sebbene la ricorrente non avesse prodotto alcuna documentazione contabile in merito all’attività in discussione neppure dopo l’esplicita richiesta di collaborazione sottoposta a lei e al convivente dal fisco, tuttavia sostiene che il relativo reddito sarebbe nettamente inferiore.</w:t>
      </w:r>
    </w:p>
    <w:p>
      <w:r>
        <w:rPr>
          <w:b/>
        </w:rPr>
        <w:t>E. 4.2</w:t>
      </w:r>
    </w:p>
    <w:p>
      <w:r>
        <w:t>Per quanto concerne la determinazione degli elementi imponibili nell’ambito di una tassazione d’ufficio, come già ricordato, la legge stabilisce che l’autorità proceda ad una valutazione coscienziosa e che possa tener conto di coefficienti sperimentali, dell’evoluzione patrimoniale e del tenore di vita del contribuente (articoli 204 cpv. 2 LT e 130 cpv. 2 LIFD). Secondo la giurisprudenza della Suprema Corte, il diritto federale esige che l’autorità di tassazione scelga un metodo che sia adeguato alle singole circostanze concrete e che porti a un risultato complessivamente il più vicino possibile alla realtà. Il metodo misto, che si basa sull’evoluzione patrimoniale da un lato e sul presunto tenore di vita dall'altro, è un metodo affidabile e ampiamente utilizzato ai fini delle imposte dirette (sentenza 2C_435/2017 del 18 febbraio 2019 consid. 2.2.4, in RF 74/2019 p. 399, con riferimenti a giurisprudenza).</w:t>
      </w:r>
    </w:p>
    <w:p>
      <w:r>
        <w:rPr>
          <w:b/>
        </w:rPr>
        <w:t>E. 4.3</w:t>
      </w:r>
    </w:p>
    <w:p>
      <w:r>
        <w:t>Nel caso in esame, il reddito dell’attività indipendente della contribuente è stato stabilito per apprezzamento in fr. 45'000.-, così come quello del compagno. Né nella decisione di tassazione d’ufficio né nella decisione su reclamo l’autorità fiscale ha illustrato il metodo adottato per determinare il reddito imponibile. Nella lettera del 3 novembre 2022, con cui chiedeva documentazione ai contribuenti, l’UT aveva fatto riferimento ad una “insufficienza di disponibilità finanziaria”. Ora, in mancanza di qualsiasi documento relativo al capitale investito nell’impresa e ai relativi redditi, la valutazione del reddito imponibile deve chiaramente essere intrapresa sulla base di altri criteri. Come già accennato, dagli atti si evince che sia stato l’Ispettorato fiscale ad informare l’UT dell’esistenza dell’attività indipendente. Nell’informativa trasmessa all’UT, ha fatto riferimento alla partecipazione dell’impresa dei contribuenti al mercato di Lugano, ma anche ad eventi diversi, compresi feste private. Ha inoltre fatto accenno alla raccolta di fondi, da loro intrapresa, per l’acquisto di un nuovo furgone. Ha poi allegato il calcolo delle entrate e delle uscite per gli anni dal 2016 al 2020. In base alla documentazione agli atti, non è possibile stabilire con quali criteri sia stato definito il reddito litigioso. Non è noto, in particolare, se siano stati considerati dei coefficienti sperimentali, in quale misura sia stato determinante il calcolo delle entrate e delle uscite e quale ruolo abbia giocato l’informazione in merito alla raccolta di fondi per l’acquisto del furgone. Non risulta del resto che la stessa contribuente sia stata resa partecipe del contenuto dello scambio d’informazioni intervenuto fra l’Ispettorato fiscale e l’UT. Non pare neppure che le sia stato sottoposto il calcolo del dispendio, relativo peraltro a periodi fiscali precedenti.</w:t>
      </w:r>
    </w:p>
    <w:p>
      <w:r>
        <w:rPr>
          <w:b/>
        </w:rPr>
        <w:t>E. 4.4</w:t>
      </w:r>
    </w:p>
    <w:p>
      <w:r>
        <w:t>Ai sensi dell’art. 29 cpv. 2 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 sentenza TF 2P.185/2006 del 27.11.2006, consid. 4.1. ).</w:t>
      </w:r>
    </w:p>
    <w:p>
      <w:r>
        <w:rPr>
          <w:b/>
        </w:rPr>
        <w:t>E. 4.5</w:t>
      </w:r>
    </w:p>
    <w:p>
      <w:r>
        <w:t>Il fatto che non siano stati illustrati alla contribuente i criteri in base ai quali il suo reddito dell’attività lucrativa indipendente è stato determinato e la circostanza che non le sia stato sottoposto il calcolo delle entrate e delle uscite, nella misura in cui l’autorità di tassazione ne ha tenuto conto per la stima del reddito, costituiscono delle violazioni del suo diritto di essere sentito. La decisione di tassazione d’ufficio, adottata dall’UT, deve conseguentemente essere annullata. Gli atti sono rinviati all’autorità di tassazione, affinché adotti una nuova decisione, dopo aver garantito il diritto al contraddittorio della contribuente.</w:t>
      </w:r>
    </w:p>
    <w:p>
      <w:r>
        <w:rPr>
          <w:b/>
        </w:rPr>
        <w:t>E. 5</w:t>
      </w:r>
    </w:p>
    <w:p>
      <w:r>
        <w:t>Visto l’esito del ricorso, non si prelevano né tassa di giustizia né spese processuali. Per questi motivi, visti per le spese gli art. 144 LIFD e 231 LT dichiara e pronuncia 1.   Il ricorso è accolto . §    Di conseguenza, la decisione su reclamo del 25 ottobre 2024 è annullata e gli atti sono rinviati all’UT, affinché adotti una nuova decisione, dopo aver garantito il diritto di essere sentito della ricorrente. 2.   Non si prelevano né tassa di giustizia né spese processuali. 3.   Contro il presen           Copia 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