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 vom 7. Dezember 2022</w:t>
      </w:r>
    </w:p>
    <w:p>
      <w:r>
        <w:t>TI Tribunale d'appello, 2022-12-07, IT</w:t>
      </w:r>
    </w:p>
    <w:p>
      <w:r>
        <w:rPr>
          <w:b/>
        </w:rPr>
        <w:t xml:space="preserve">Quelle: </w:t>
      </w:r>
      <w:r>
        <w:t>https://mcp.opencaselaw.ch/entscheid/ti_gerichte_80.2023.2</w:t>
      </w:r>
    </w:p>
    <w:p>
      <w:r>
        <w:t>FR: TI_GERICHTE 80.2023.2 du 7 décembre 2022</w:t>
      </w:r>
    </w:p>
    <w:p>
      <w:r>
        <w:t>IT: TI_GERICHTE 80.2023.2 del 7 dicembre 2022</w:t>
      </w:r>
    </w:p>
    <w:p>
      <w:pPr>
        <w:pStyle w:val="Heading2"/>
      </w:pPr>
      <w:r>
        <w:t>Regeste</w:t>
      </w:r>
    </w:p>
    <w:p>
      <w:r>
        <w:t>Reddito dell’attività lucrativa indipendente: spese per uso dell’automobile, tassazione in base ai conteggi presentati, aumento dei costi con reclamo, buona fede</w:t>
      </w:r>
    </w:p>
    <w:p>
      <w:pPr>
        <w:pStyle w:val="Heading2"/>
      </w:pPr>
      <w:r>
        <w:t>Erwägungen</w:t>
      </w:r>
    </w:p>
    <w:p>
      <w:r>
        <w:rPr>
          <w:b/>
        </w:rPr>
        <w:t>E. 1</w:t>
      </w:r>
    </w:p>
    <w:p>
      <w:r>
        <w:t>La ricorrente contesta il mancato riconoscimento dell’importo richiesto in deduzione a titolo di spese di manutenzione dell’immobile, come pure delle spese legate all’utilizzo del veicolo privato. Preliminarmente, solleva poi delle censure relative alla riscossione delle imposte cantonali e comunali e al calcolo dell’imposta immobiliare comunale. I.   Conguagli d’imposta e imposte comunali</w:t>
      </w:r>
    </w:p>
    <w:p>
      <w:r>
        <w:rPr>
          <w:b/>
        </w:rPr>
        <w:t>E. 2</w:t>
      </w:r>
    </w:p>
    <w:p>
      <w:r>
        <w:t>L’imposta effettiva richiesta corrisponde all’imposta base cantonale moltiplicata con il coefficiente di imposta cantonale.</w:t>
      </w:r>
    </w:p>
    <w:p>
      <w:r>
        <w:rPr>
          <w:b/>
        </w:rPr>
        <w:t>E. 2.1</w:t>
      </w:r>
    </w:p>
    <w:p>
      <w:r>
        <w:t>La contribuente, in via preliminare, pone una serie di quesiti. Presenta il conguaglio dell’imposta cantonale 2021 del 31.12.2022 ed il conguaglio dell’imposta comunale di __________ per il 2021 del 19.9.2022, chiedendo per quale ragione l’imposta cantonale non viene commisurata applicando il coefficiente del 97%, come nel caso dell’imposta cantonale. Rimarca inoltre di aver pagato l’imposta cantonale il 10.12.2022, ma che, nel calcolo del conguaglio, l’importo non risultava ancora versato (pagamenti registrati fino al 19.12.2022). Per quanto concerne il conguaglio dell’imposta comunale, lamenta inoltre l’imposizione dell’imposta immobiliare pari a fr. 200.90.</w:t>
      </w:r>
    </w:p>
    <w:p>
      <w:r>
        <w:rPr>
          <w:b/>
        </w:rPr>
        <w:t>E. 2.2.1</w:t>
      </w:r>
    </w:p>
    <w:p>
      <w:r>
        <w:t>Va in primis ricordato che questa Camera non è autorità competente, per determinarsi, in prima istanza, contro le impugnative dirette contro i conguagli delle imposte cantonali (per i quali è dato il rimedio del reclamo all’Ufficio esazione e condoni entro 30 giorni dall’intimazione, in applicazione dell’art. 241 cpv. 5 LT) e delle imposte comunali (per i quali è dato il rimedio del reclamo al Municipio entro 30 giorni dalla notifica secondo l’art. 299 cpv. 1 LT). Il ricorso, in quanto presentato contro i conguagli delle imposte cantonali e comunali per il 2021 si palesa pertanto irricevibile.</w:t>
      </w:r>
    </w:p>
    <w:p>
      <w:r>
        <w:rPr>
          <w:b/>
        </w:rPr>
        <w:t>E. 2.2.2</w:t>
      </w:r>
    </w:p>
    <w:p>
      <w:r>
        <w:t>A titolo abbondanziale, per far comunque chiarezza, si rileva, quanto segue. L’art. 1 a LT [Imposta cantonale base e coefficiente di imposta cantonale] prevede quanto segue: 1 Le imposte sul reddito e sulla sostanza, quelle sull’utile e sul capitale come pure quelle alla fonte sono determinate applicando le aliquote della presente legge. Esse costituiscono l’imposta cantonale base che fa stato ai fini dell’applicazione del coefficiente cantonale di imposta e del calcolo delle relative imposte comunali (art. 276 LT).</w:t>
      </w:r>
    </w:p>
    <w:p>
      <w:r>
        <w:rPr>
          <w:b/>
        </w:rPr>
        <w:t>E. 2.3</w:t>
      </w:r>
    </w:p>
    <w:p>
      <w:r>
        <w:t>Per quanto concerne l’imposta immobiliare comunale, la stessa è disciplinata dagli art. 291 e seguenti LT ed è un’imposta di pertinenza comunale (art. 274 cpv. 1 lett. c LT). La stessa è dovuta dalle persone fisiche e giuridiche che sono proprietarie di un immobile alla fine dell’anno civile (art. 291 cpv. 1 LT). L’art. 293 LT stabilisce che l’imposta immobiliare è dell’1 per mille del valore di stima ufficiale alla fine dell’anno civile, esclusa ogni deduzione di debiti. II.   Spese di manutenzione</w:t>
      </w:r>
    </w:p>
    <w:p>
      <w:r>
        <w:rPr>
          <w:b/>
        </w:rPr>
        <w:t>E. 3</w:t>
      </w:r>
    </w:p>
    <w:p>
      <w:r>
        <w:t>La modifica del coefficiente è soggetta a referendum facoltativo. Nelle disposizioni transitorie della LT, l’art. 300 a LT [Coefficiente di imposta cantonale] prevede: 1 Per i periodi fiscali dal 2020 al 2023 compreso, in deroga all’articolo 1b capoverso 1, il coefficiente di imposta cantonale è ridotto al 97 per cento. Ora, è sulla base di tali disposizioni della Legge tributaria che il coefficiente d’imposta cantonale, anche per il 2021, è stato ridotto al 97%. Per quanto attiene alle imposte comunali, l’art. 276 cpv. 2 LT prevede che esse siano calcolate: “(…) applicando il moltiplicatore comunale all’imposta cantonale base. (…)”. Motivo per il quale, l’imposta comunale è determinata applicando il moltiplicatore comunale al totale dell’imposta cantonale base -  così come previsto dalla legge - che per quanto attiene alla contribuente era pari a fr. 3'919.-.</w:t>
      </w:r>
    </w:p>
    <w:p>
      <w:r>
        <w:rPr>
          <w:b/>
        </w:rPr>
        <w:t>E. 3.1</w:t>
      </w:r>
    </w:p>
    <w:p>
      <w:r>
        <w:t>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(art. 31 cpv. 2 LT).</w:t>
      </w:r>
    </w:p>
    <w:p>
      <w:r>
        <w:rPr>
          <w:b/>
        </w:rPr>
        <w:t>E. 3.2</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3.3</w:t>
      </w:r>
    </w:p>
    <w:p>
      <w:r>
        <w:t>Ai fini della determinazione del reddito imponibile non possono invece essere dedotte le spese di investimento, segnatamente di miglioria di beni patrimoniali (cfr.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7/2023 dell’aprile 2020, in vigore dal 1.1.2020). Fanno eccezione unicamente gli investimenti destinati al risparmio di energia e alla protezione dell’ambiente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3.4</w:t>
      </w:r>
    </w:p>
    <w:p>
      <w:r>
        <w:t>Invece della somma effettiva delle spese e dei premi concernenti i beni immobili privati, il contribuente può avvalersi di una deduzione complessiva. Per il periodo fiscale 2021, il Consiglio federale risp. il Consiglio di Stato hanno stabilito questa deduzione complessiva (art. 32 cpv. 4 LIFD risp. art. 31 cpv.</w:t>
      </w:r>
    </w:p>
    <w:p>
      <w:r>
        <w:rPr>
          <w:b/>
        </w:rPr>
        <w:t>E. 3.5</w:t>
      </w:r>
    </w:p>
    <w:p>
      <w:r>
        <w:t>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w:t>
      </w:r>
    </w:p>
    <w:p>
      <w:r>
        <w:rPr>
          <w:b/>
        </w:rPr>
        <w:t>E. 4</w:t>
      </w:r>
    </w:p>
    <w:p>
      <w:r>
        <w:t>dell’Ordinanza).</w:t>
      </w:r>
    </w:p>
    <w:p>
      <w:r>
        <w:rPr>
          <w:b/>
        </w:rPr>
        <w:t>E. 4.1</w:t>
      </w:r>
    </w:p>
    <w:p>
      <w:r>
        <w:t>Per il periodo fiscale 2021, in relazione all’immobile di __________ (mapp. __________ RFD __________), la contribuente produceva la fattura dei “lavori a regia, casa __________ a __________”. La fattura del 15.3.2021 in questione si divideva in due posizioni: “Lavori interni”, per complessivi fr. 3'872.35, nonché “Lavori carpentiere e copritetto (tetto in piode estensione)” per complessivi fr. 20'072.05. Ora, la contribuente chiedeva, nelle deduzioni, unicamente la parte della fattura relativa ai “ Lavori carpentiere e copritetto ”. I costi venivano suddivisi tra l’installazione del cantiere (fr. 500.-), la manodopera (muratore e manovale per complessivi fr. 12'597.-) e la fornitura di materiale (piode nuove e vecchie, legname e ferramenta per fr. 5’540.-) a cui si aggiungeva l’IVA.</w:t>
      </w:r>
    </w:p>
    <w:p>
      <w:r>
        <w:rPr>
          <w:b/>
        </w:rPr>
        <w:t>E. 4.2</w:t>
      </w:r>
    </w:p>
    <w:p>
      <w:r>
        <w:t>Nelle osservazioni al ricorso, l’autorità fiscale segnala di aver accordato per gli anni 2020 e 2021 deduzioni per fr. 114'400.-, su una “ (…) spesa complessiva per lavori di carpenteria e copritetto di CHF 127'700.-“ . L’UT indica di aver adottato un approccio pragmatico, basato sul buon senso, per determinare le attività edificatorie del caso in esame: nello specifico, sulla base dei documenti trasmessi dalla contribuente, in particolare delle opere a regia presenti nella fattura finale della ditta “ (…) __________” si rileverebbe la presenza di opere di miglioria “estenzione [sic] tetto in piode” e non di pura manutenzione ordinaria.</w:t>
      </w:r>
    </w:p>
    <w:p>
      <w:r>
        <w:rPr>
          <w:b/>
        </w:rPr>
        <w:t>E. 4.3</w:t>
      </w:r>
    </w:p>
    <w:p>
      <w:r>
        <w:t>Ora, proprio per chiarire in che misura la ristrutturazione dell’immobile implicasse anche la presenza di opere di miglioria, se non una nuova costruzione, questa Camera ha chiesto alla contribuente di voler produrre la domanda di costruzione con i relativi piani. Ancorché quanto trasmesso – siccome inviato tardivamente – non potrebbe essere preso in considerazione, i piani presentati avvalorano la tesi dall’autorità fiscale, secondo cui il risanamento in questione avrebbe comportato l’edificazione di parti nuove. Infatti, vi sono parti indicate con il colore rosso. Secondo l’art. 12 cpv. 2 del Regolamento di applicazione della legge edilizia del 9 dicembre 1992 (RLE; RL 705.110), nel caso di trasformazione o di rinnovazione, le demolizioni saranno indicate con colore giallo e le nuove costruzioni con colore rosso. L’insorgente non ha fornito alcuna ulteriore spiegazione né altra documentazione, che consentano di comprendere meglio la natura delle nuove costruzioni.</w:t>
      </w:r>
    </w:p>
    <w:p>
      <w:r>
        <w:rPr>
          <w:b/>
        </w:rPr>
        <w:t>E. 4.4</w:t>
      </w:r>
    </w:p>
    <w:p>
      <w:r>
        <w:t>Ora, secondo gli artt. 34 lett. d LIFD e 33 lett. d LT le spese di acquisto e di fabbricazione di beni patrimoniali non possono essere dedotte dal reddito imponibile (cfr. anche Circolare 7/2023, p. 8). Nel caso in disamina, sulla base degli atti compulsati e visto che la contribuente, alla quale incombeva l’onere della prova, non ha prodotto giustificativi chiari (seppur sollecitata a proposito da questa Camera), non si può che confermare la decisione dell’UT di riconoscere unicamente in misura parziale le opere inerenti il tetto e descritte nella fattura del 15.3.2021 della ditta __________ Si è infatti – perlomeno parzialmente – confrontati ad una porzione di nuovo edificio, non esistente in precedenza. In queste circostanze – in mancanza di una documentazione completa – l’autorità fiscale si è finanche dimostrata generosa nel riconoscere la maggior parte delle opere da impresario costruttore fatte valere tra il 2020 ed il 2021 da __________ (come indicato nelle osservazioni al ricorso ben fr. 114'400.- su fr. 127'700.-). Se i piani fossero stati presentati in precedenza, si può dubitare che la contribuente avrebbe goduto di deduzioni tanto abbondanti. Su questo punto il ricorso si rivela pertanto infondato. II.   Spese professionali</w:t>
      </w:r>
    </w:p>
    <w:p>
      <w:r>
        <w:rPr>
          <w:b/>
        </w:rPr>
        <w:t>E. 5.1</w:t>
      </w:r>
    </w:p>
    <w:p>
      <w:r>
        <w:t>La contribuente svolge la professione di architetto, a titolo sia dipendente sia indipendente.</w:t>
      </w:r>
    </w:p>
    <w:p>
      <w:r>
        <w:rPr>
          <w:b/>
        </w:rPr>
        <w:t>E. 5.2</w:t>
      </w:r>
    </w:p>
    <w:p>
      <w:r>
        <w:t>Per quanto concerne l’attività dipendente, la stessa era impiegata, nel 2021, presso la __________ a __________, dalla quale ha conseguito uno stipendio di fr. 72'463.-. Nel Modulo 6 (“Spese professionali del contribuente”) indicava di essere impiegata all’80% e faceva valere – per 150 giorni – il tragitto andata/ritorno tra __________ con l’autovettura (294 km/giorno; 44'100 km per complessivi fr. 26'460.- di deduzione postulati). A fronte di tale richiesta, l’UT ha riconosciuto unicamente il controvalore delle spese dell’abbonamento al mezzo pubblico, per fr. 3'860.-, argomentando che l’utilizzo del mezzo privato deve rimanere l’eccezione e di norma venire ammessa unicamente in relazione al tempo di percorrenza quotidiano per recarsi al lavoro. Per il cosiddetto “ Wochenaufenthalter ” la dottrina sarebbe più severa nell’ammettere l’uso del veicolo privato: per il rientro settimanale è lecito che il contribuente sopporti qualche “disagio” supplementare.</w:t>
      </w:r>
    </w:p>
    <w:p>
      <w:r>
        <w:rPr>
          <w:b/>
        </w:rPr>
        <w:t>E. 5.3</w:t>
      </w:r>
    </w:p>
    <w:p>
      <w:r>
        <w:t>Per quanto concerne le spese legate all’utilizzo del veicolo nell’ambito dell’attività indipendente, nella dichiarazione d’imposta 2021, la contribuente ha indicato un reddito netto pari a fr. 8'086.-, sulla base di un ricapitolativo delle entrate e delle uscite, nel quale figurano costi per fr. 1'638.70 relativi all’utilizzo del veicolo per la sua attività. Con il ricorso__________, chiede in sostanza di rivedere il suo reddito da attività indipendente, tenendo in considerazione un importo maggiorato legato all’uso del veicolo pari a fr. 10'500.- (15'000 km, a 0.70 cts/km).</w:t>
      </w:r>
    </w:p>
    <w:p>
      <w:r>
        <w:rPr>
          <w:b/>
        </w:rPr>
        <w:t>E. 6.1</w:t>
      </w:r>
    </w:p>
    <w:p>
      <w:r>
        <w:t>Per quanto attiene all’attività lucrativa dipendente, sia secondo l’art. 25 cpv. 1 LT sia secondo l’art. 26 cpv. 1 LIFD rientrano fra le spese professionali deducibili le spese di trasporto necessarie dal domicilio al luogo di lavoro.</w:t>
      </w:r>
    </w:p>
    <w:p>
      <w:r>
        <w:rPr>
          <w:b/>
        </w:rPr>
        <w:t>E. 6.2</w:t>
      </w:r>
    </w:p>
    <w:p>
      <w:r>
        <w:t>Per il calcolo dell’imposta cantonale, le spese di trasporto sono precisate dal Decreto esecutivo concernente l’imposizione delle persone fisiche valido per il periodo fiscale 2021 (del 2 dicembre 2020). Secondo l’art. 3 cpv. 1 del Decreto esecutivo del 2 dicembre 2020,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 3 cpv. 2 del Decreto esecutivo del 30 novembre 2016, nonché del Decreto esecutivo del</w:t>
      </w:r>
    </w:p>
    <w:p>
      <w:r>
        <w:rPr>
          <w:b/>
        </w:rPr>
        <w:t>E. 6.3</w:t>
      </w:r>
    </w:p>
    <w:p>
      <w:r>
        <w:t>La questione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ad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ad esempio sentenza del TF n. 2C_807/2011 del 9 luglio 2012, consid. 2.3.1 e giurisprudenza citata; Genini , Deduzioni per spese professionali cumulate, in NF 9/2018, pag. 399 e segg.; sentenza del TF n. 2C_745/2017 del 21 settembre 2017 in RDAF 2018 II p. 149 e segg.).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TF n. 2P.254/2002 del 12 maggio 2003, consid. 4.2).</w:t>
      </w:r>
    </w:p>
    <w:p>
      <w:r>
        <w:rPr>
          <w:b/>
        </w:rPr>
        <w:t>E. 6.4</w:t>
      </w:r>
    </w:p>
    <w:p>
      <w:r>
        <w:t>In sede ricorsuale, __________ precisa che la sua attività è quella di direzione lavori sia quale dipendente sia quale indipendente e segnala che “ (…) la quota fra le due può sempre cambiare ogni anno ”. Indica che nel 2021 aveva seguito parecchi cantieri tra cui quelli “ complicati” inerenti delle ristrutturazioni per i quali devono essere predisposti “ stretti controlli e accompagnamento ”. Asserisce che, con i mezzi pubblici non sarebbe riuscita a “fare il giro in tempo”. Nel gravame tuttavia è concorde con il ragionamento operato dall’UT per quanto attiene alle spese dell’autovettura legate all’attività dipendente. Per contro, per quanto concerne l’attività indipendente, la necessità dell’utilizzo dell’autovettura sarebbe data, in quanto al minimo due volte a settimana abbisognerebbe dell’autovettura per “visitare i cantieri” che segue da indipendente.</w:t>
      </w:r>
    </w:p>
    <w:p>
      <w:r>
        <w:rPr>
          <w:b/>
        </w:rPr>
        <w:t>E. 6.5</w:t>
      </w:r>
    </w:p>
    <w:p>
      <w:r>
        <w:t>Ora, per quanto attiene all’attività dipendente, l’autorità fiscale ha giustamente riconosciuto l’utilizzo del mezzo pubblico, cosa che del resto la stessa insorgente non contesta. L’UT ha basato la propria decisione sul presupposto che la contribuente sia una Wochenaufenthalter , sebbene la stessa non sostenga di soggiornare a __________ durante la settimana. Vero è che i costi richiesti, in prima battuta, nella dichiarazione fiscale per recarsi al proprio posto di lavoro superano – di gran lunga – il costo ammesso per le spese supplementari di alloggio (cfr. art. 5 cpv. 2 del Decreto esecutivo concernente l’imposizione delle persone fisiche valido per il periodo fiscale 2021). Del resto, ancorché ciò non determinante per i motivi già esposti, non emerge neppure che il datore di lavoro esiga l’utilizzo del veicolo privato per gli spostamenti sui cantieri. Peraltro, se questo fosse il caso, di norma, in applicazione dell’art. 327 b CO, è il datore di lavoro che è tenuto, in primis , ad indennizzare le spese collegate all’uso dell’autovettura.</w:t>
      </w:r>
    </w:p>
    <w:p>
      <w:r>
        <w:rPr>
          <w:b/>
        </w:rPr>
        <w:t>E. 7</w:t>
      </w:r>
    </w:p>
    <w:p>
      <w:r>
        <w:t>dicembre 2017).</w:t>
      </w:r>
    </w:p>
    <w:p>
      <w:r>
        <w:rPr>
          <w:b/>
        </w:rPr>
        <w:t>E. 7.1</w:t>
      </w:r>
    </w:p>
    <w:p>
      <w:r>
        <w:t>Secondo l’art. 125 cpv. 2 LIFD (di ugual tenore l’art. 199 cpv. 2 lett. a LT),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 Le esigenze alle quali devono rispondere i documenti contabili richiesti dall’art. 125 cpv. 2 LIFD dipendono dalle circostanze del caso concreto, ed in particolare dal tipo di attività e dall’ampiezza di quest’ultima. In ogni caso, devono essere idonee a garantire un accertamento completo ed affidabile del reddito e della sostanza legate all’attività lucrativa indipendente e devono poter essere controllate in condizioni ragionevoli da parte delle autorità fiscali (sentenze TF 2C_189/2016 del 13.2.2017 consid. 6.4.4.; 2C_87/2015 del 23.10.2015 consid. 6.5.). Tale esigenza è ancora più importante quando il contribuente intende addurre dei fatti suscettibili di estendere o diminuire il suo debito fiscale, circostanze queste che devono essere provate da quest’ultimo (sentenza TF 2C_339/2020 del 5.1.2021 consid. 7.1.; DTF 133 II 153 consid. 4.3.).</w:t>
      </w:r>
    </w:p>
    <w:p>
      <w:r>
        <w:rPr>
          <w:b/>
        </w:rPr>
        <w:t>E. 7.2</w:t>
      </w:r>
    </w:p>
    <w:p>
      <w:r>
        <w:t>Ora, quanto presentato dalla contribuente per determinare l’utile derivante dalla sua attività indipendente appare alquanto lacunoso ad approssimativo. In dispregio alle normative applicabili, __________ non ha infatti allegato alcuna distinta relativa alla situazione patrimoniale, né una relativa ai prelevamenti ed agli apporti privati. Il conteggio delle entrate e delle uscite, allegato alla dichiarazione d’imposta, indicava ricavi per complessivi fr. 18'013.- e costi per fr. 9'927.-, con un utile netto di fr. 8'086.-, che è stato accettato dall’autorità di tassazione senza alcuna ripresa. Fra i costi registrati figura un importo di fr. 1'683.- per spese dell’automobile (“Autokosten”). In sede ricorsuale la contribuente chiede di modificare le uscite, senza tuttavia produrre alcun documento giustificativo. La richiesta avanzata dalla contribuente si appalesa contraria al principio della buona fede. Il contribuente chiamato ad allestire la propria dichiarazione fiscale è infatti chiamato a compilare il modulo in modo completo e veritiero, firmarlo personalmente ed inviarlo, con gli allegati prescritti all’autorità competente entro il termine stabilito (art. 124 cpv. 2 LIFD). È del contribuente la responsabilità dell’esattezza della sua dichiarazione (sentenza TF 2C_203/2019 del 4.7.2019 consid. 3.2.; sentenza TF 2C_129/2018 del 24.9.2018 consid. 5.1.). La pretesa di modificare, a posteriori, la distinta delle entrate e delle uscite unicamente a seguito della decisione dell’autorità fiscale, che non ha riconosciuto la deduzione dell’uso dell’autoveicolo per l’attività dipendente, contrasta con quanto dichiarato dalla stessa contribuente nella propria dichiarazione fiscale. L’autorità fiscale, e di riflesso anche le ulteriori autorità giudicanti devono partire dal presupposto che quanto dichiarato dal contribuente sia corretto (sentenza 2C_129/2019 del 24.9.2018 consid. 5.1.). Spetta alla ricorrente presentare la sua situazione, ivi comprese le sue spese aziendali, in maniera tale da poter essere verificate e soprattutto corrispondere alla realtà. In altri termini o i costi sussistono effettivamente – e come tali vanno inseriti nelle uscite – oppure non ci sono stati e di riflesso non possono essere modificati a posteriori a dipendenza delle valutazioni operate dall’autorità fiscale.</w:t>
      </w:r>
    </w:p>
    <w:p>
      <w:r>
        <w:rPr>
          <w:b/>
        </w:rPr>
        <w:t>E. 7.3</w:t>
      </w:r>
    </w:p>
    <w:p>
      <w:r>
        <w:t>In una simile situazione, il reddito da attività indipendente – e in particolar modo i costi addotti per il conseguimento dello stesso – non può essere rimesso in discussione. Anche in relazione all’utilizzo del veicolo privato nell’ambito dell’attività indipendente, il gravame non merita tutela alcuna.</w:t>
      </w:r>
    </w:p>
    <w:p>
      <w:r>
        <w:rPr>
          <w:b/>
        </w:rPr>
        <w:t>E. 8</w:t>
      </w:r>
    </w:p>
    <w:p>
      <w:r>
        <w:t>Il ricorso è respinto in quanto presentato contro la decisione di tassazione IC/IFD 2021; mentre è irricevibile siccome presentato contro le decisioni di conguaglio emesse per il 2021 dal Municipio di __________ e dall’Ufficio esazione e condoni. La tassa di giustizia e spese sono a carico della ricorrente, soccombente. Per questi motivi, visti per le spese gli art. 144 LIFD e 231 LT dichiara e pronuncia 1.   1.1.  Nella misura in cui concerne la decisione del 7 dicembre 2022 (tassazione IC/IFD 2021), il ricorso è respinto 1.2.  Nella misura in cui concerne i conguagli delle imposte cantonali e comunali 2021, notificati rispettivamente dall’Ufficio esazione e condoni e dal Municipio di __________, il ricorso è irricevibile . 2.   Le spese processuali consistenti: a. nella tassa di giustizia di                                 fr. 1’000.– b. nelle spese di cancelleria di complessivi fr.    200.– per un totale di                                                      fr. 1’200.–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