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80.2022.88 vom 7. März 2022</w:t>
      </w:r>
    </w:p>
    <w:p>
      <w:r>
        <w:t>TI Tribunale d'appello, 2022-03-07, IT</w:t>
      </w:r>
    </w:p>
    <w:p>
      <w:r>
        <w:rPr>
          <w:b/>
        </w:rPr>
        <w:t xml:space="preserve">Quelle: </w:t>
      </w:r>
      <w:r>
        <w:t>https://mcp.opencaselaw.ch/entscheid/ti_gerichte_80.2022.88</w:t>
      </w:r>
    </w:p>
    <w:p>
      <w:r>
        <w:t>FR: TI_GERICHTE 80.2022.88 du 7 mars 2022</w:t>
      </w:r>
    </w:p>
    <w:p>
      <w:r>
        <w:t>IT: TI_GERICHTE 80.2022.88 del 7 marzo 2022</w:t>
      </w:r>
    </w:p>
    <w:p>
      <w:pPr>
        <w:pStyle w:val="Heading2"/>
      </w:pPr>
      <w:r>
        <w:t>Erwägungen</w:t>
      </w:r>
    </w:p>
    <w:p>
      <w:r>
        <w:rPr>
          <w:b/>
        </w:rPr>
        <w:t>E. 11.1</w:t>
      </w:r>
    </w:p>
    <w:p>
      <w:r>
        <w:t>Nel proprio gravame i contribuenti hanno inoltre chiesto l’assunzione di ulteriori prove e meglio l’audizione di testimoni: __________ (Sindaco di __________), __________ (__________), __________, __________ (medico di famiglia), __________ (responsabile dell’Ufficio postale di Pontresina), __________ (ispettore fiscale regionale __________ e tassatore del Comune di __________), __________ (custode immobili e responsabile pulizie), __________ (impresario e vicino di casa a __________), __________ (vicino di casa a __________), __________ (responsabile Ufficio tecnico a __________), __________ (vicedirettore __________).</w:t>
      </w:r>
    </w:p>
    <w:p>
      <w:r>
        <w:rPr>
          <w:b/>
        </w:rPr>
        <w:t>E. 11.2</w:t>
      </w:r>
    </w:p>
    <w:p>
      <w:r>
        <w:t>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Per quanto riguarda le imposte in discussione, il diritto ad offrire prove pertinenti e ad ottenerne l'assunzione è inoltre ribadito dall'art. 115 in relazione con l'art. 142 LIFD e dall'art. 188 in relazione con l'art. 228 LT.</w:t>
      </w:r>
    </w:p>
    <w:p>
      <w:r>
        <w:rPr>
          <w:b/>
        </w:rPr>
        <w:t>E. 11.3</w:t>
      </w:r>
    </w:p>
    <w:p>
      <w:r>
        <w:t>Ora, questa Camera è dell’avviso che l’audizione testimoniale delle persone indicate in precedenza sia superflua. Per quanto concerne il sindaco di __________, occorre rilevare che il domicilio di __________ era già stato oggetto di interesse del Comune di __________, che, ad inizio settembre 2015, ne aveva formalmente richiesto il trasferimento. Nell’ambito di uno scambio di corrispondenza (5.5.2017), nella quale il contribuente indicava di essere attivo professionalmente, a tempo pieno, a __________, presso la società __________, egli aveva anche auspicato l’iscrizione di entrambi i figli alle scuole comunali di __________, a causa del lavoro della moglie. Nello scritto formulava inoltre le seguenti considerazioni: “ Colgo inoltre l’occasione per segnalarvi che nel comune di __________ trovano sede alcune società da me amministrate che nel corso degli anni stanno incrementando la propria cifra d’affari e porteranno ad un contributo fiscale di sicuro interesse. Nella fattispecie si tratta di __________, __________, __________, __________, __________ ”. Ora, visto anche l’esito del parallelo procedimento relativo alla __________, l’audizione del Sindaco è priva di interesse. Per quanto concerne l’audizione di __________, la stessa non è determinante: del resto, risulta che i contribuenti hanno anche legami con la __________, posto come almeno il figlio __________ vi sia stato battezzato. Per quanto concerne il medico di famiglia di __________, i dati estrapolati dall’estratto delle prestazioni mediche della cassa malati __________ sono più che sufficienti, senza procedere ad ulteriori audizioni. Per tutti gli altri testimoni citati, non si vede come possano in qualche modo – e neppure i ricorrenti lo spiegano - sovvertire le altre emergenze fattuali per i periodi fiscali in disamina (attività professionali, legami economici, scolarizzazione dei figli in Ticino): il fatto che RI 1 intrattenga degli interessi professionali ed economici nel Canton Grigioni, ancora non significa che ciò corrisponda al suo domicilio fiscale, per tutti i motivi già esposti in precedenza.</w:t>
      </w:r>
    </w:p>
    <w:p>
      <w:r>
        <w:rPr>
          <w:b/>
        </w:rPr>
        <w:t>E. 12</w:t>
      </w:r>
    </w:p>
    <w:p>
      <w:r>
        <w:t>Il ricorso è respinto. La tassa di giustizia e le spese sono poste a carico dei contribuenti, soccombenti. Per questi motivi, visto per le spese l’art. 231 LT dichiara e pronuncia 1.   Il ricorso è respinto . 2.   Le spese processuali consistenti: a. nella tassa di giustizia di                                 fr. 2’500.– b. nelle spese di cancelleria di complessivi fr.    500.– per un totale di                                                      fr. 3’000.– sono a carico dei ricorrenti. 3.   Contro il presente giudizio è dato ricorso in materia di diritto pubblico al Tribunale federale in Lucerna, entro 30 giorni (art. 73 LAI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