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80.2022.225 vom 27. Juli 2022</w:t>
      </w:r>
    </w:p>
    <w:p>
      <w:r>
        <w:t>TI Tribunale d'appello, 2022-07-27, IT</w:t>
      </w:r>
    </w:p>
    <w:p>
      <w:r>
        <w:rPr>
          <w:b/>
        </w:rPr>
        <w:t xml:space="preserve">Quelle: </w:t>
      </w:r>
      <w:r>
        <w:t>https://mcp.opencaselaw.ch/entscheid/ti_gerichte_80.2022.225</w:t>
      </w:r>
    </w:p>
    <w:p>
      <w:r>
        <w:t>FR: TI_GERICHTE 80.2022.225 du 27 juillet 2022</w:t>
      </w:r>
    </w:p>
    <w:p>
      <w:r>
        <w:t>IT: TI_GERICHTE 80.2022.225 del 27 luglio 2022</w:t>
      </w:r>
    </w:p>
    <w:p>
      <w:pPr>
        <w:pStyle w:val="Heading2"/>
      </w:pPr>
      <w:r>
        <w:t>Erwägungen</w:t>
      </w:r>
    </w:p>
    <w:p>
      <w:r>
        <w:rPr>
          <w:b/>
        </w:rPr>
        <w:t>E. 21</w:t>
      </w:r>
    </w:p>
    <w:p>
      <w:r>
        <w:t>dicembre 2017. Per il periodo fiscale 2017, il reddito imponibile è stato determinato in fr. 276'100.– per l’IC e in fr. 290'600.– per l’IFD, mentre il reddito determinante per l’aliquota, rispettivamente, in fr. 323'000.– e fr. 325'900.–; la sostanza imponibile è stata commisurata in fr. 2'620'000.– e quella determinante per l’aliquota in fr. 3'494'000.–. Per il periodo fiscale 2018, il reddito imponibile è stato determinato in fr. 256’100.– per l’IC e in fr. 270'400.– per l’IFD, mentre il reddito determinante per l’aliquota, rispettivamente, in fr. 302'500.– e fr. 305’400.–; la sostanza imponibile è stata commisurata in fr. 2'224'000.– e quella determinante per l’aliquota in fr. 3'063’000.–. E. Con tempestivo ricorso alla Camera di diritto tributario, i coniugi RI 1 e RI 2 contestano il valore locativo attribuito dall’Ufficio di tassazione all’immobile di loro proprietà, sito in Via __________ [ recte: __________] n. __________ a __________, e chiedono che sia ridotto a € 20'000. Producono in primo luogo una stima allestita il 17 agosto 2022 dalla __________, che valuta in un importo fra € 17'000 e € 20'000 il reddito potenziale dell’immobile. Allegano inoltre i valori ricavati dalla banca dati delle quotazioni immobiliari dell’Agenzia delle entrate, da cui risulta che “il valore di locazione per un immobile della tipologia in esame in zona extraurbana a __________… si situava in una forchetta tra EUR 3,3 al m2/mese e EUR 4,2 al m2/mese sia per il 2017 sia per il 2018”. Su questa base, il valore locativo dell’immobile (di circa 500 m2) si situerebbe fra € 19'800 e € 25'200. I ricorrenti ritengono infine che il tasso di rendimento del 6%, impiegato dall’autorità di tassazione e ricavato da una direttiva dell’AFC del 1969, dovrebbe essere adeguato ai tassi di riferimento per investimenti a rischio zero in Italia negli anni 2017 e 2018. Il tasso dovrebbe pertanto essere ridotto al 2.67% per il 2017 e al 3.07% per il 2018. Seguendo questo criterio, il valore locativo ammonterebbe a € 20’000 nel 2017 e € 23'000 nel 2018. Da qui la richiesta di adottare quale valore locativo medio l’importo di € 20’000. Diritto 1. 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 2. 2.1. Venendo alla fattispecie in esame, i ricorrenti criticano il RS 1 dall’RS 1 per stabilire l’ammontare del valore locativo dell’immobile situato a __________, in via __________, pari a fr. 45'000.–, mentre non contestano il valore attribuito allo stesso immobile ai fini del calcolo dell’imposta sulla sostanza. 2.2. L’art. 21 cpv. 2 LIFD sancisce che il valore locativo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w:t>
      </w:r>
    </w:p>
    <w:p>
      <w:r>
        <w:rPr>
          <w:b/>
        </w:rPr>
        <w:t>E. 25</w:t>
      </w:r>
    </w:p>
    <w:p>
      <w:r>
        <w:t>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respinto il ricorso di un contribuente, proprietario di una casa in Portogallo, il cui valore locativo era stato commisurato nel 4,5% del valore fiscale dellimmobile, già al netto delle spese di manutenzione forfetarie (sentenza TF n. 2C_829/2016 e 2C_830/2016 del 10 maggio 2017, consid. 7.2; TF 2C_137/2019 del 23.1.2020, consid. 6.2.).</w:t>
      </w:r>
    </w:p>
    <w:p>
      <w:r>
        <w:t>2.3.</w:t>
      </w:r>
    </w:p>
    <w:p>
      <w:r>
        <w:t>In una sentenza del 23 giugno 2022, il Tribunale federale ha respinto il ricorso di un contribuente ginevrino, proprietario di unabitazione secondaria in Spagna, il cui valore locativo era stato stabilito dallautorità fiscale cantonale nella misura del 4,5% del valore catastale dellimmobile, al netto della deduzione forfetaria del 25% per spese di manutenzione. La Suprema Corte ha precisato che il ricorso al metodo forfetario si giustifica anche nel caso in cui nello Stato di situazione dellimmobile viene stabilito un valore locativo, ma i criteri in base ai quali questultimo è determinato non sono conformi alle esigenze legali e giurisprudenziali imposte dal diritto interno svizzero e cantonale, in particolar modo per quanto attiene al rispetto delle condizioni locali e dei limiti da osservare in relazione alle pigioni di mercato (sentenza 2C_ 700/2021 del 23.6.2022, in RF 77/2022 p. 845, consid. 6.2). Nel caso della Spagna, il valore locativo corrispondeva all1,1% o al massimo al 2% del valore catastale dellimmobile e non era pertanto conforme ai criteri stabiliti dal diritto interno. Infatti, il valore catastale corrispondeva circa al 50% del valore venale dellimmobile e il valore locativo calcolato applicando a tale importo un tasso di conversione dell1,1% o del 2% era nettamente inferiore a quanto esatto dagli standard del diritto federale e cantonale. Era pertanto legittima la decisione delle autorità cantonali, che avevano fissato il valore locativo applicando il tasso del 4,5%, previsto dalla normativa cantonale, al valore catastale spagnolo (sentenza 2C_ 700/2021 del 23.6.2022 consid. 7).</w:t>
      </w:r>
    </w:p>
    <w:p>
      <w:r>
        <w:t>2.4.</w:t>
      </w:r>
    </w:p>
    <w:p>
      <w:r>
        <w:t>Per quanto concerne il diritto cantonale ticinese, secondo lart. 1 del decreto esecutivo del 30 novembre 2016 concernente limposizione delle persone fisiche valido per il periodo fiscale 2017 (RL 10.2.2.1.4) e lart. 1 del medesimo decreto esecutivo del 7 dicembre 2017 valido per il periodo fiscale 2018,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Nel caso in esame, lautorità di tassazione ha applicato la percentuale del 6% (analogamente a quanto deciso nella sentenza CDT n. 80.2015.225/226) al valore di stima stabilito sulla base della visura catastale, deducendo poi dallimporto in questione il 20% a titolo di spese di manutenzione.</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