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80.2022.221 vom 25. Juli 2022</w:t>
      </w:r>
    </w:p>
    <w:p>
      <w:r>
        <w:t>TI Tribunale d'appello, 2022-07-25, IT</w:t>
      </w:r>
    </w:p>
    <w:p>
      <w:r>
        <w:rPr>
          <w:b/>
        </w:rPr>
        <w:t xml:space="preserve">Quelle: </w:t>
      </w:r>
      <w:r>
        <w:t>https://mcp.opencaselaw.ch/entscheid/ti_gerichte_80.2022.221</w:t>
      </w:r>
    </w:p>
    <w:p>
      <w:r>
        <w:t>FR: TI_GERICHTE 80.2022.221 du 25 juillet 2022</w:t>
      </w:r>
    </w:p>
    <w:p>
      <w:r>
        <w:t>IT: TI_GERICHTE 80.2022.221 del 25 luglio 2022</w:t>
      </w:r>
    </w:p>
    <w:p>
      <w:pPr>
        <w:pStyle w:val="Heading2"/>
      </w:pPr>
      <w:r>
        <w:t>Regeste</w:t>
      </w:r>
    </w:p>
    <w:p>
      <w:r>
        <w:t>Procedura: revisione, errore nella contabilità di una ditta, errore di dichiarazione, non motivo di revisione</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Nella fattispecie, la fiduciaria __________ era responsabile della contabilità della ditta individuale __________ di RI 1 e il bilancio allestito era stato utilizzato per la compilazione della dichiarazione di imposta IC/IFD 2019. Secondo il ricorrente, gli errori commessi dalla __________, accertati a posteriori dalla fiduciaria __________ che ha ripreso la contabilità di __________, avrebbero influito sulla tassazione del contribuente. Il motivo di revisione addotto consiste dunque nell’errore commesso dalla fiduciaria nella tenuta della contabilità della ditta individuale di RI 1.</w:t>
      </w:r>
    </w:p>
    <w:p>
      <w:r>
        <w:rPr>
          <w:b/>
        </w:rPr>
        <w:t>E. 2.2</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al contribuente spetta sempre e comunque l’incombenza di controllare la decisione di tassazione al momento in cui la riceve e di sollevare le proprie censure tramite i rimedi giuridici ordinari.</w:t>
      </w:r>
    </w:p>
    <w:p>
      <w:r>
        <w:rPr>
          <w:b/>
        </w:rPr>
        <w:t>E. 2.3</w:t>
      </w:r>
    </w:p>
    <w:p>
      <w:r>
        <w:t>Nel caso in esame, alla dichiarazione d’imposta, presentata il 1° ottobre 2020, i contribuenti avevano allegato bilancio e conto economico dell’attività lucrativa indipendente del marito. L’autorità di tassazione ha ripreso l’utile risultante dal bilancio. D’altra parte, senza disporre delle schede contabili e delle singole fatture, l’Ufficio di tassazione non avrebbe neppure potuto verificare l’esistenza di eventuali errori nella registrazione dei ricavi. Ne consegue che la fattispecie in esame configura un errore di dichiarazione da parte dei contribuenti. Firmando la dichiarazione, che commisurava in fr. 186'619.– il reddito dell’attività lucrativa del marito, i contribuenti hanno confermato che la stessa era stata compilata “in modo completo e veritiero” (art. 124 cpv. 2 LIFD; art. 198 cpv. 2 LT) e si sono in tal modo assunti la responsabilità di eventuali errori, a loro sfavore o a loro favore. In queste circostanze, all’errore commesso nella dichiarazione non può essere posto rimedio mediante una revisione della decisione di tassazione passata in giudicato (cfr. sentenza del TF 2C_47/2016 e 2C_48/2016 del 22 agosto 2016 consid. 3.3).</w:t>
      </w:r>
    </w:p>
    <w:p>
      <w:r>
        <w:rPr>
          <w:b/>
        </w:rPr>
        <w:t>E. 2.4</w:t>
      </w:r>
    </w:p>
    <w:p>
      <w:r>
        <w:t>Gli insorgenti ritengono che « contabilizzazione in doppio di elementi di reddito sarebbe, inoltre, in contrasto con il “Principio della capacità economica del contribuente” intesa come manifestazione di produzione di ricchezza (i.e. reddito) la quale costituisce la giustificazione del prelievo tributario e ne contiene la misura ». A tale riguardo, la Suprema Corte si ha già avuto occasione di confrontarsi con la censura di violazione del principio di capacità contributiva (art. 127 cpv. 2 Cost.) da parte dell’autorità fiscale, nei confronti di un contribuente che lamentava di dover pagare 53'000 franchi in più di imposta a causa di un errore di dichiarazione. Secondo il Tribunale federale, la scelta del legislatore federale di introdurre un numerus clausus di presupposti per riaprire decisioni di tassazione passate in giudicato non lascia spazio per una revisione non fondata su una base legale (sentenza del TF 2C_47/2016 e 2C_48/2016 del 22 agosto 2016 consid. 3.4).</w:t>
      </w:r>
    </w:p>
    <w:p>
      <w:r>
        <w:rPr>
          <w:b/>
        </w:rPr>
        <w:t>E. 2.5</w:t>
      </w:r>
    </w:p>
    <w:p>
      <w:r>
        <w:t>Neppure il fatto che l’errore sia stato commesso dal suo precedente contabile e che sia stato scoperto dal nuovo contabile giustifica una diversa conclusione. Anche nel diritto tributario vige infatti il principio secondo cui eventuali errori commessi dal rappresentante (o ausiliario) del contribuente devono essere imputati direttamente a quest’ultimo. Di conseguenza, il contribuente è tenuto a scegliere e istruire con cura il rappresentante contrattuale e a controllare il risultato del lavoro. Ciò vale in particolare per il controllo della dichiarazione d’imposta compilata da un terzo (sentenza del TF 2C_978/2019 del 14 aprile 2020 consid. 3.2.2 e giurisprudenza citata). Anche ammettendo che lo stesso ricorrente non avrebbe potuto verificare gli errori commessi dal suo contabile, a meno di procedere alla “revisione dell’intera contabilità aziendale di un intero anno”, ciò non toglie che egli debba rispondere anche degli errori commessi dal contabile. In caso di danno commesso dal contabile nell’adempimento del suo mandato, il mandante potrebbe del resto esigere il risarcimento del danno.</w:t>
      </w:r>
    </w:p>
    <w:p>
      <w:r>
        <w:rPr>
          <w:b/>
        </w:rPr>
        <w:t>E. 3</w:t>
      </w:r>
    </w:p>
    <w:p>
      <w:r>
        <w:t>Alla luce di quanto precede, si deve quindi concludere che oltre a non essere dato alcun motivo di revisione, l’istante non ha ottemperato al proprio obbligo di diligenza, ciò che esclude la revisione. Di conseguenza,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3.   Contro il presente giudizi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