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80.2021.97 vom 9. April 2021</w:t>
      </w:r>
    </w:p>
    <w:p>
      <w:r>
        <w:t>TI Tribunale d'appello, 2021-04-09, IT</w:t>
      </w:r>
    </w:p>
    <w:p>
      <w:r>
        <w:rPr>
          <w:b/>
        </w:rPr>
        <w:t xml:space="preserve">Quelle: </w:t>
      </w:r>
      <w:r>
        <w:t>https://mcp.opencaselaw.ch/entscheid/ti_gerichte_80.2021.97</w:t>
      </w:r>
    </w:p>
    <w:p>
      <w:r>
        <w:t>FR: TI_GERICHTE 80.2021.97 du 9 avril 2021</w:t>
      </w:r>
    </w:p>
    <w:p>
      <w:r>
        <w:t>IT: TI_GERICHTE 80.2021.97 del 9 aprile 2021</w:t>
      </w:r>
    </w:p>
    <w:p>
      <w:pPr>
        <w:pStyle w:val="Heading2"/>
      </w:pPr>
      <w:r>
        <w:t>Regeste</w:t>
      </w:r>
    </w:p>
    <w:p>
      <w:r>
        <w:t>Reddito imponibile: confronto fra entrate e uscite, prelevamento da un conto bancario di una società in nome collettivo</w:t>
      </w:r>
    </w:p>
    <w:p>
      <w:pPr>
        <w:pStyle w:val="Heading2"/>
      </w:pPr>
      <w:r>
        <w:t>Erwägungen</w:t>
      </w:r>
    </w:p>
    <w:p>
      <w:r>
        <w:rPr>
          <w:b/>
        </w:rPr>
        <w:t>E. 1.01</w:t>
      </w:r>
    </w:p>
    <w:p>
      <w:r>
        <w:t>31.12 Entrate Uscite Estratto titoli 11'985.- 7'062.- 4’923.- Capitale --- 142'134.- 157'176.- 15’042.- imm. __________ 3'600.- Passivi Estratto debiti 601'854.- 584'627.- 17'227.- Compensazione credito UBS 5'000.- 5'000.- Redditi Redditi attività -- 12'222.- 12'222.- Versamento da conto --- Contributo __________ 5'000.- 5'000.- AVS 20'700.- 20'700.- Prestazione complementare 1'390.- 1'390.- Reddito titoli</w:t>
      </w:r>
    </w:p>
    <w:p>
      <w:r>
        <w:rPr>
          <w:b/>
        </w:rPr>
        <w:t>E. 1.1</w:t>
      </w:r>
    </w:p>
    <w:p>
      <w:r>
        <w:t>In via preliminare il contribuente censura una violazione del suo diritto di essere sentito, per il fatto che l’aggiunta di altri redditi per fr. 15'000.- non sarebbe stata compiutamente motivata nella decisione impugnata.</w:t>
      </w:r>
    </w:p>
    <w:p>
      <w:r>
        <w:rPr>
          <w:b/>
        </w:rPr>
        <w:t>E. 1.2</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1.3</w:t>
      </w:r>
    </w:p>
    <w:p>
      <w:r>
        <w:t>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1.4</w:t>
      </w:r>
    </w:p>
    <w:p>
      <w:r>
        <w:t>Nel caso che qui ci occupa, in merito all’aggiunta di altri redditi, l’autorità fiscale indicava, in estrema sintesi, che le spiegazioni fornite dal contribuente circa l’esistenza di ulteriori entrate percepite nel 2017 non permettevano di escludere l’esistenza di un ammanco finanziario: in particolare l’UT ha indicato come il prelievo operato dal ricorrente presso il conto della società in nome collettivo __________, presso banca __________, fosse già stato preso in considerazione nella variazione degli attivi e passivi della __________. Inoltre l’UT spiegava di ritenere pure un reddito l’importo ricevuto da parte della Fondazione __________ per il 2017 (di fr. 5'000.-). Ora, dalla decisione si comprende che l’aggiunta di altri redditi deriva dall’ammanco di liquidità stabilito in fr. 10'000.- dal calcolo del dispendio, ai quali va aggiunto l’importo di fr. 5'000.- ricevuti dalla Fondazione sopraccitata. L’UT non è pertanto incorso in alcuna violazione del diritto di essere sentito del ricorrente.</w:t>
      </w:r>
    </w:p>
    <w:p>
      <w:r>
        <w:rPr>
          <w:b/>
        </w:rPr>
        <w:t>E. 2.1</w:t>
      </w:r>
    </w:p>
    <w:p>
      <w:r>
        <w:t>Nella procedura fiscale vige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2.2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2ª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 Houriet , in: Yersin/Noël [a cura di], Impôt fédéral direct, Basilea 2008, n. 4 ad art. 123 LIFD, p. 1196).</w:t>
      </w:r>
    </w:p>
    <w:p>
      <w:r>
        <w:rPr>
          <w:b/>
        </w:rPr>
        <w:t>E. 3.1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3.2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op. cit., n. 29 e 31 ad art. 130 LIFD, p. 342 ss.; Richner/Frei/Kaufmann , Handkommentar zum DBG, Zurigo 2003, n. 26 ad art. 130 LIFD, p. 972; contra Berger , op. cit., p. 197).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4.1</w:t>
      </w:r>
    </w:p>
    <w:p>
      <w:r>
        <w:t>Il contribuente deve essere tassato, nella misura del possibile, secondo la sua capacità contributiva reale. L’autorità di tassazione, chiamata a valutare d’ufficio il reddito imponibile di un contribuente deve tener conto, secondo il suo apprezzamento, di tutti i dati disponibili al momento di prendere la sua decisione. Non si può esigere dall’autorità fiscale che effettui inchieste oppure proceda a dei chiarimenti troppo dettagliati, in particolar modo quando non dispone di elementi probatori. Quando le uniche indicazioni verificabili si basano sull’evoluzione della situazione della sostanza, l’autorità fiscale può basarsi sulla differenza tra lo stato della sostanza all’inizio e alla fine del periodo fiscale e aggiungere le spese private ed il tenore di vita stimati alla cifra così ottenuta per determinare il reddito imponibile (sentenza TF inc. 2A.442/2001 del 19.6.2002 consid. 2.1.).</w:t>
      </w:r>
    </w:p>
    <w:p>
      <w:r>
        <w:rPr>
          <w:b/>
        </w:rPr>
        <w:t>E. 4.2</w:t>
      </w:r>
    </w:p>
    <w:p>
      <w:r>
        <w:t>L’autorità fiscale ha proceduto ad allestire più calcoli del dispendio (cfr. 8.11.2019, 1.3.2021, e 25.3.2021) sulla base dei dati a disposizione e sulle informazioni ricevute dallo stesso contribuente, dopo che gli venivano sottoposti i calcoli indicati. In particolare, il calcolo delle entrate /uscite sul quale è basata la decisione su reclamo – con la quale sono stati aggiunti fr. 15'000.- quali reddito d’altra fonte – ha stabilito un ammanco di oltre fr. 10'000.- ai quali si aggiungono, secondi l’autorità fiscale fr. 5'000.- ricevuti da parte della __________: Attivi</w:t>
      </w:r>
    </w:p>
    <w:p>
      <w:r>
        <w:rPr>
          <w:b/>
        </w:rPr>
        <w:t>E. 4.3</w:t>
      </w:r>
    </w:p>
    <w:p>
      <w:r>
        <w:t>Con il ricorso l’insorgente si duole del fatto che, nelle entrate, l’autorità fiscale non ha tenuto conto che nel 2017, aveva ritirato la somma di fr. 19'772.95 dal conto della società in nome collettivo RI 1. Tale importo era “ già stato tassato nel Canton Berna l’anno precedente (…)”. Inoltre non era neppure giustificata l’aggiunta, nei redditi, dell’importo di fr. 5'000.- ricevuti da parte della Fondazione __________ per compensare la mancanza delle prestazioni complementari. Si tratta pertanto di verificare se l’UT ha correttamente ritenuto che, nel calcolo del dispendio vi fosse un ammanco di fr. 10'000.- nonché, accertare la legittimità dell’imposizione dell’importo di fr. 5'000.- ricevuto dalla Fondazione __________.</w:t>
      </w:r>
    </w:p>
    <w:p>
      <w:r>
        <w:rPr>
          <w:b/>
        </w:rPr>
        <w:t>E. 4.4.1</w:t>
      </w:r>
    </w:p>
    <w:p>
      <w:r>
        <w:t>Come visto, il qui contribuente è titolare, unitamente al figlio __________ della società in nome collettivo “____________________”. L’autorità fiscale ha indicato al contribuente come il prelievo di oltre fr. 19'000.- operato nel corso del 2017 dal conto nr. 166.503.783.09 aperto presso Banca __________ non potesse essere preso in considerazione quale altra “entrata”, siccome già compreso nella variazione tra gli attivi ed i passivi.</w:t>
      </w:r>
    </w:p>
    <w:p>
      <w:r>
        <w:rPr>
          <w:b/>
        </w:rPr>
        <w:t>E. 4.4.2</w:t>
      </w:r>
    </w:p>
    <w:p>
      <w:r>
        <w:t>Le società svizzere prive di personalità giuridica (quali la società semplice, la società in nome collettivo oppure in commandita) non sono soggetti fiscali. L’imposizione avviene presso i soci, i quali sono tenuti ad aggiungere ai propri elementi imponibili la parte dei redditi (rispettivamente di sostanza a livello d’imposta cantonale) della società che loro appartiene (cfr. art. 10 LIFD). Inoltre, siccome la società di persone è considerata fiscalmente trasparente, l’assoggettamento verrà effettuato a dipendenza della posizione dei soci ( Oberson , Droit fiscal suisse, Basilea 2007, pag. 75, n. 48; sentenza TF 2C_415/2012 del 2.11.2012, consid. 4.1.). Le partecipazioni detenute nelle società di persone (società semplici, società in nome collettivo ed in accomandita) devono essere in prima linea stabilite al valore nominale dell’apporto di capitale. Se la società ha riserve aperte o latenti, ai soci viene assegnata anche una quota delle riserve, che è determinata dagli accordi contrattuali o dall'ammontare dei contributi di capitale ( Dzamko-Locher/Teuscher , Kommentar StHG, 3a. ed., Basilea 2017, n. 22 ad art. 14 LIFD; Richner/Frei/Kaufmann/Meuter, Kommentar zum Zürcher Steuergesetz, 3a. ed., Zurigo 2013, n. 29 ad art. 39).</w:t>
      </w:r>
    </w:p>
    <w:p>
      <w:r>
        <w:rPr>
          <w:b/>
        </w:rPr>
        <w:t>E. 4.4.4</w:t>
      </w:r>
    </w:p>
    <w:p>
      <w:r>
        <w:t>Ora, nel calcolo del dispendio (in particolare quello del 25.3.2021 utilizzato per la decisione su reclamo), per quanto attiene agli attivi, al valore della quota parte della __________ viene indicato, al 31.12.2017, l’importo di fr. 157'176.- (la metà del capitale proprio, pari a complessivi fr. 314'352.45). Al 1°.1.2017 la quota parte era pari a fr. 142'134.-. Ora, questo dato, come correttamente rilevato dall’UT tiene in considerazione la variazione degli attivi della __________ avvenuta nel corso del 2017: in effetti nel bilancio della __________ per quanto concerne il conto aperto presso banca __________ (nr. __________), dal quale è stato operato il prelievo a favore del qui ricorrente è passato 10'826.30 al 31.12.2016 a fr. 519.05 al 31.12.2017. Motivo per il quale, tale variazione, già compresa a bilancio, ha avuto un effetto diretto per stabilire il valore della __________ ed è già stata debitamente considerata dall’autorità fiscale nella determinazione del capitale della __________. Sicché, diversamente da quanto auspicato dall’insorgente, il prelievo in questione, e quindi l’entrata a livello del calcolo del dispendio, non può essere tenuta in considerazione, visto che già compresa nel calcolo effettuato dal’UT. Su questo punto, il gravame non merita pertanto tutela e il calcolo del dispendio – riportante un ammanco di poco più di fr. 10'000.- - dev’essere confermato, non presentando il ricorrente alcuna altra prova atta a giustificare la discrepanza rilevata tra le uscite e le entrate avute nel 2017. 5. 5.1. Come accennato in precedenza, l’insorgente si duole parimenti del fatto che negli altri redditi è stato compreso il versamento di complessivi fr. 5'000.-, ricevuto da parte della __________, con sede a __________, a titolo di “sostegno finanziario”: secondo la sua tesi, l’importo ottenuto dovrebbbe essere esente da imposizione, siccome versato in ragione della sua precaria situazione finanziaria. La Fondazione in parola ha quale scopo tra l’altro pure quello di versare, in forma saltuaria o anche ricorrente contributi finanziari a persone bisognose domiciliate nel Canton Ticino e Enti cantonali ticinesi che si occupino dell’aiuto alle stesse (cfr. www.zefix.ch , sito consultato il 31.8.2021). 5.2. 5.2.1.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 5.2.2. Secondo l’art. 24 lit. d LIFD non sottostanno all’imposta sul reddito: i sussidi d’assistenza provenienti da fondi pubblici o privati. L’art. 23 lit. d LT prevede che sono esenti da imposta i sussidi d’assistenza provenienti da fondi pubblici o privati, compresi gli assegni integrativi e di prima infanzia, gli assegni per grandi invalidi e le somme percepite per conseguire un titolo di studio o professionale. 5.3. 5.3.1. In una sentenza il Tribunale federale ha precisato il campo d’applicazione delle disposizioni legali che esentano dall’imposta sul reddito i sussidi d’assistenza ( DTF 137 II 328 = RDAF 2011 II 280 = RF 66/2011 p. 506) . I giudici hanno sottolineato dapprima che dalle versioni tedesca e italiana della legge risulta in modo più chiaro che la disposizione in questione mira anzitutto a esentare dall’imposta l’aiuto alle persone svantaggiate o bisognose, i relativi sussidi provenienti in generale da fondazioni, associazioni caritative o altre entità che perseguono fini disinteressati di pura utilità pubblica. Si tratta pertanto di un’esenzione fondata su motivazioni di carattere socio-politico, che si prefigge di far pervenire integralmente al destinatario le prestazioni versate allo scopo di sfuggire ad una situazione di indigenza o di bisogno (“Notlage”) . La sentenza prende poi atto delle critiche rivolte in dottrina all’esenzione in questione, che sarebbe causa di ineguaglianze. Immaginando due contribuenti che si trovassero in una simile situazione economica precaria, quello che percepisce redditi provenienti da prestazioni d’assistenza sarebbe indebitamente avvantaggiato rispetto a quello che consegue redditi professionali, poiché questi ultimi sono imponibili. Gli autori in questione auspicano pertanto, de lege ferenda , l’esenzione generale di un importo corrispondente al minimo vitale, mediante deduzioni sociali o mediante l’aliquota. Il Tribunale federale ha concluso lasciando aperta la questione, in quanto l’art. 190 Cost. lo obbliga comunque ad applicare il diritto federale vigente. Ha tuttavia sottolineato che, nell’interpretazione dell’art. 24 lett. d LIFD, avrebbe cercato di ridurre il più possibile le disparità di trattamento che questa norma poteva generare (DTF 137 II 328 = RDAF 2011 II 280 = RF 66/2011 p. 506, consid. 4.1) . In seguito, la Corte ha stabilito a quali condizioni è data l’esenzione: · il beneficiario deve trovarsi in una situazione di disagio (stato di bisogno, Bedürftigkeit ); · l’entità (di diritto pubblico o privato) che eroga le prestazioni lo deve fare allo scopo di venire in aiuto del beneficiario (motivo di assistenza, Unterstützung ); · il versamento deve avere un carattere disinteressato e non oneroso, cioè dal beneficiario non deve essere pretesa alcuna controprestazione o contropartita (gratuità, Unentgeltlichkeit ) (DTF 137 II 328 = RDAF 2011 II 280 = RF 66/2011 p. 506, consid. 4.3; v. anche RtiD I-2012 p. 677 ss.; Locher , Kommentar zum DBG, 2a ed., Basilea 2019, n. 36 e segg. ad art. 24 LIFD). 5.3.2. Nel caso in cui queste condizioni sono adempiute, bisogna ancora valutare la situazione di necessità nel suo contesto d’insieme. La situazione di bisogno deve essere determinata in base ai criteri applicabili alle prestazioni complementari: il reddito che supera il minimo di esistenza calcolato in conformità alla Legge federale sulle prestazioni complementari all’assicurazione per la vecchiaia, i superstiti e l’invalidità (RS 831.30) non può essere esente da imposte, a meno che non si tratti di prestazioni complementari stesse, che sono esenti da imposte ( Locher , op. cit., n. 38 ad art. 24 LIFD). 5.3.3. Nel caso in cui un contribuente percepisce dei sussidi assistenziali provenienti, per esempio da una fondazione di diritto privato, allorquando percepisce ugualmente delle prestazioni complementari che coprono già il suo minimo esistenziale ai sensi della LPC, tali sussidi non potranno, di norma, essere esentati in applicazione dell’art. 24 lit. d LIFD. In caso contrario, un esonero, anche parziale, dev’essere operato sino a concorrenza dell’importo corrispondente al minimo esistenziale secondo la LPC, comprese le eventuali prestazioni cantonali (DTF 137 II 328 consid. 5.4.). 5.4. Nel caso che qui ci occupa il contribuente, nello scritto del 18.3.2021 ha informato l’autorità fiscale di aver ricevuto delle prestazioni complementari durante il 2017: in particolare ha indicato che sia i premi di cassa malati (per un importo di fr. 6'737.-) nonché le spese di malattia (per fr. 1'019.-) sono stati coperti dalle prestazioni complementari. Ora, come visto, nel caso in cui un contribuente beneficia di prestazioni complementari, che coprono già il suo minimo esistenziale ai sensi della LPC, riceve delle prestazioni assistenziali da fondazioni di diritto privato, le stesse non sono più esenti da imposizione. Motivo per il quale, l’UT ha correttamente imposto l’importo ricevuto dalla __________. Il gravame, anche su questo punto non merita tutela. 6. 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 ricorrente. 3.   Contro il prese              Copia per conoscenza: - municipio di __________. per la Camera di diritto tributario del Tribunale d’appello Il presidente: La segretari a :</w:t>
      </w:r>
    </w:p>
    <w:p>
      <w:r>
        <w:rPr>
          <w:b/>
        </w:rPr>
        <w:t>E. 8</w:t>
      </w:r>
    </w:p>
    <w:p>
      <w:r>
        <w:t>Affitti</w:t>
      </w:r>
    </w:p>
    <w:p>
      <w:r>
        <w:t>8'700.-</w:t>
      </w:r>
    </w:p>
    <w:p>
      <w:r>
        <w:t>8'700.-</w:t>
      </w:r>
    </w:p>
    <w:p>
      <w:r>
        <w:t>Oneri</w:t>
      </w:r>
    </w:p>
    <w:p>
      <w:r>
        <w:t>CM</w:t>
      </w:r>
    </w:p>
    <w:p>
      <w:r>
        <w:t>0.-</w:t>
      </w:r>
    </w:p>
    <w:p>
      <w:r>
        <w:t>Spese immobili</w:t>
      </w:r>
    </w:p>
    <w:p>
      <w:r>
        <w:t>10'364.-</w:t>
      </w:r>
    </w:p>
    <w:p>
      <w:r>
        <w:t>10'364.-</w:t>
      </w:r>
    </w:p>
    <w:p>
      <w:r>
        <w:t>Interessi passivi</w:t>
      </w:r>
    </w:p>
    <w:p>
      <w:r>
        <w:t>8'015.-</w:t>
      </w:r>
    </w:p>
    <w:p>
      <w:r>
        <w:t>8'015.-</w:t>
      </w:r>
    </w:p>
    <w:p>
      <w:r>
        <w:t>Spese di mal.</w:t>
      </w:r>
    </w:p>
    <w:p>
      <w:r>
        <w:t>0.-</w:t>
      </w:r>
    </w:p>
    <w:p>
      <w:r>
        <w:t>Imposte</w:t>
      </w:r>
    </w:p>
    <w:p>
      <w:r>
        <w:t>202.-</w:t>
      </w:r>
    </w:p>
    <w:p>
      <w:r>
        <w:t>202.-</w:t>
      </w:r>
    </w:p>
    <w:p>
      <w:r>
        <w:t>Fabbisogno</w:t>
      </w:r>
    </w:p>
    <w:p>
      <w:r>
        <w:t>Persona sola</w:t>
      </w:r>
    </w:p>
    <w:p>
      <w:r>
        <w:t>14'400.-</w:t>
      </w:r>
    </w:p>
    <w:p>
      <w:r>
        <w:t>Totali</w:t>
      </w:r>
    </w:p>
    <w:p>
      <w:r>
        <w:t>57'943.-</w:t>
      </w:r>
    </w:p>
    <w:p>
      <w:r>
        <w:t>68'850.-</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