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80.2021.254 vom 13. Oktober 2021</w:t>
      </w:r>
    </w:p>
    <w:p>
      <w:r>
        <w:t>TI Tribunale d'appello, 2021-10-13, IT</w:t>
      </w:r>
    </w:p>
    <w:p>
      <w:r>
        <w:rPr>
          <w:b/>
        </w:rPr>
        <w:t xml:space="preserve">Quelle: </w:t>
      </w:r>
      <w:r>
        <w:t>https://mcp.opencaselaw.ch/entscheid/ti_gerichte_80.2021.254</w:t>
      </w:r>
    </w:p>
    <w:p>
      <w:r>
        <w:t>FR: TI_GERICHTE 80.2021.254 du 13 octobre 2021</w:t>
      </w:r>
    </w:p>
    <w:p>
      <w:r>
        <w:t>IT: TI_GERICHTE 80.2021.254 del 13 ottobre 2021</w:t>
      </w:r>
    </w:p>
    <w:p>
      <w:pPr>
        <w:pStyle w:val="Heading2"/>
      </w:pPr>
      <w:r>
        <w:t>Regeste</w:t>
      </w:r>
    </w:p>
    <w:p>
      <w:r>
        <w:t>Reddito della sostanza immobiliare: valore locativo, applicazione del valore di reddito stabilito dall’Ufficio cantonale di stima, riferimento generico a “canoni locatizi della zona”, annullamento</w:t>
      </w:r>
    </w:p>
    <w:p>
      <w:pPr>
        <w:pStyle w:val="Heading2"/>
      </w:pPr>
      <w:r>
        <w:t>Erwägungen</w:t>
      </w:r>
    </w:p>
    <w:p>
      <w:r>
        <w:rPr>
          <w:b/>
        </w:rPr>
        <w:t>E. 27</w:t>
      </w:r>
    </w:p>
    <w:p>
      <w:r>
        <w:t>settembre 2021 i ricorrenti producevano all’attenzione dell’UT (che la riceveva il 28 settembre 2021), entro il termine di 30 giorni a decorrere dalla notificazione delle decisioni di tassazione, la traduzione del loro primo scritto. I coniugi __________ contestavano, per quanto qui di interesse, il valore locativo delle loro abitazioni secondarie/di vacanza stabilito dall’UT, indicando che “ il valore locativo figurativo valutato è molto alto ”. E. Con decisione di tassazione dopo reclamo IC 2020 del 13 ottobre 2021, l’autorità di tassazione confermava l’importo relativo al “valore locativo abitazione secondaria/di vacanza” pari a fr. 52'598.-, con la seguente motivazione: “[…] si reputa che non siano dati i[ n ] presupposti per una diminuzione. Tenuto conto del valore dell’immobile e dei canoni locatizi della zona, si reputa che sia del tutto veritiero poter considerare un ipotetico incasso da affitti di Fr. 1'730.- sia per il fondo 228 che per il fondo 761”. F. Con tempestivo ricorso del 12 novembre 2021 alla Camera di diritto tributario, i coniugi __________ insorgono contro la decisione di tassazione dopo reclamo IC 2020 del 13 ottobre 2021, contestando il “valore locativo abitazione secondaria/di vacanza” poiché troppo elevato. G. Con scritto del 18 novembre 2021, l’UT rinuncia a formulare delle osservazioni al ricorso presentato dai coniugi __________. Diritto 1. 1.1. I ricorrenti, come detto, contestano il “valore locativo dell’abitazione secondaria/di vacanza” stabilito dall’UT, sulla base del “valore di mercato delle pigioni della zona”, stimato in fr. 1'730.- mensili per ciascun fondo di proprietà del contribuente. In queste circostanze, si deve quindi preliminarmente verificare se l’autorità di tassazione, emanando la decisione su reclamo, abbia violato il diritto di essere sentiti dei ricorrenti. 1.2. Va ricordato che, adita dal contribuente con reclamo, l’autorità fiscale deve prendere la sua decisione fondandosi sui risultati dell’inchiesta (art. 208 cpv. 1 prima frase LT; art. 135 cpv. 1 prima frase LIFD) e la decisione deve essere motivata (art. 208 cpv. 2 LT e art. 135 cpv. 2 prima frase LIFD). Per giurisprudenza costante, il diritto a una motivazione ha natura formale: pertanto, di regola, la sua violazione comporta l’annullamento dell’atto impugnato, senza che vada vagliato se quest’ultimo, nel merito, è corretto (DTF 119 Ia 136 consid. 2a; 118 Ia 17 consid. 1a). L’art. 29 Cost.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(p. es. sentenza della CDT n. 80.2002.205 del 5 agosto 2003, in: RtiD I-2004 n.19t). 1.3. L’UT, nella propria decisione di tassazione, ha spiegato che, il valore locativo delle abitazioni secondarie corrisponde al valore di mercato delle pigioni della zona. L’autorità fiscale non spende tuttavia una parola per indicare quale sia il “valore di mercato delle pigioni”. Unicamente nella decisione di tassazione dopo reclamo, l’UT indica che “ tenuto conto del valore dell’immobile e dei canoni locatizi della zona, si reputa che sia del tutto veritiero poter considerare un ipotetico incasso da affitti di fr. 1'730.- sia per il fondo __________ che per il fondo __________ ”. Ai ricorrenti è stato dunque spiegato il metodo con il quale l’autorità fiscale determina il valore locativo delle abitazioni secondarie, senza tuttavia fornire loro i dati delle “pigioni di mercato” che sarebbero stati considerati quali termine di paragone. In queste circostanze, si deve concludere che il diritto di essere sentiti dei ricorrenti è stato violato. Già solo per tale ragione, la decisione su reclamo dev’essere annullata. 2. 2.1. Secondo gli artt.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vedi anche DTF 124 I 152 = ASA 68 p. 773 = StE 1998 A 23.1 n. 1; DTF 123 II 15 = ASA 66 p. 563 = RF 52/1998 p. 190 = StE 1997 A 21.11 n. 41). 2.2. La legge federale sull’armonizzazione delle imposte dirette dei cantoni e dei comuni obbliga i cantoni ad assoggettare all’imposta sul reddito il valore locativo (in virtù del combinato disposto dell’art. 2 cpv. 1 lett. a e dell’art. 7 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cfr. sentenza del TF n. 2C_757/2015 dell’8 dicembre 2016, consid. 2), precisando poi che il 60% del valore di mercato rappresenta il limite inferiore che è ancora conforme al principio costituzionale dell’uguaglianza (art. 8 cpv. 1 Cost. fed.). 2.3. 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2.4. Per quanto riguarda le modalità di determinazione del valore locativo, secondo l’art. 1 del decreto esecutivo del’11 dicembre 2019 concernente l’imposizione delle persone fisiche valido per il periodo fiscale 2020,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2.5. In una sentenza di principio risalente al 9 maggio 2008 (cfr. sentenza della CDT n. 80.2007.173 del 9 maggio 2008),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sentenze della CDT n. 80.2006.173 del 21 dicembre 2006 e n. 80.2007.18 del 9 marzo 2007). 2.6. L’AFC ha emanato delle informazioni fiscali (edite dalla Conferenza svizzera delle imposte), nel marzo del 2015, proprio in relazione all’imposizione del valore locativo. In merito al calcolo del valore locativo, nel documento si indica (a pagina 9, punto 4.1, “Le principe du loyer comparable” ) che i valori locativi sono generalmente calcolabili grazie al metodo comparativo: e meglio il paragone con altri appartamenti simili, ceduti in locazione. Il valore dell’utilizzo proprio corrisponderà di principio alla pigione che un terzo dovrebbe pagare nelle medesime circostanze per un immobile della stessa natura e che presenti le medesime caratteristiche (stessa situazione, medesima vetustà dell’immobile e numero di locali, nonché disposizione e superficie). Difficilmente è possibile trovare, nel vicinato, immobili locati della stessa natura e della stessa grandezza. Unicamente per gli immobili strutturati in proprietà per piani è possibile riferirsi a valori che sono direttamente paragonabili, come anche per gli appartamenti abitati dallo stesso proprietario nel suo immobile locativo. Tuttavia, sempre dalle Informazioni fiscali sul valore locativo, emerge che, nei casi di abitazioni familiari non è possibile stabilire dei valori direttamente comparabili. Per questa tipologia di alloggi, i valori devono essere determinati secondo criteri di calcolo oggettivi. In tal senso si distinguono – di principio – due metodi per il calcolo dei valori locativi, il metodo lordo e quello netto. Il metodo lordo prevale in Svizzera. Già nelle “Direttive per determinare il valore locativo delle case di abitazione occupate dal proprietario del 25.3.1969” (in ASA vol. 38, p. 121 ss.), l’AFC ha sviluppato più sistemi di calcolo relativi alla stima del valore locativo secondo il metodo lordo. I metodi in questione vengono brevemente illustrati ai punti 4.3. delle Informazioni fiscali sul valore locativo (v. in particolare p. 10 e 11): e meglio il metodo comparativo, il metodo della determinazione del valore locativo sulla base di stime cantonali degli immobili, il metodo della procedura di stima individuale (ogni immobile viene valutato in maniera separata in funzione di determinati criteri ad esso relativi) e i casi speciali (ad. es. tipo ville lussuose, ville d’artista occupate dai loro proprietari). 2.7. Come già indicato poc’anzi, nella decisione impugnata l’autorità fiscale non spiega su quali dati comparativi abbia basato la propria decisione: non è pertanto possibile né per i contribuenti, né tantomeno per questa Camera verificare, nelle suesposte circostanze, la correttezza del valore locativo attribuito alle residenze secondarie dei coniugi __________. 2.8. In aggiunta, si rileva che i ricorrenti allegano al proprio memoriale la “scheda di calcolo della stima” del fondo n. __________ RFD di __________ rispettivamente del fondo n. __________. Da questi documenti si evince un valore di reddito di fr. 16'176.75 per ciascun fondo. Applicando la appena citata prassi, ritenuta illegale, si otterrebbe il valore locativo accertato dall’autorità fiscale e pari a fr 20'798.- (fr. 16'176.75 [valore di reddito accertato dall’Ufficio di stima] x 90% / 70%). Anche per tale motivo quindi, la decisione dell’UT è da annullare. 2.9. Dal riparto effettuato dall’UT si evince un reddito immobiliare nel Canton Ticino di complessivi fr 20'798.-, che corrisponderebbero unicamente al valore locativo di un unico fondo, mentre i ricorrenti sono proprietari sia del mapp. n. __________ RFD di __________ sia di quello n. __________. Di conseguenza, il reddito immobiliare sarebbe da definire nuovamente, presumibilmente effettuando una reformatio in peius . Di conseguenza, anche per questo motivo, gli atti sono ritornati all’UT, affinché proceda a determinare nuovamente il valore locativo degli immobili siti in Ticino. 3. Il ricorso è accolto e gli atti sono ritornati all’autorità fiscale affinché proceda nei propri incombenti ai sensi dei considerandi. Non si prelevano tassa di giustizia e spese processuali. Per questi motivi, visto per le spese l’art. 231 LT dichiara e pronuncia 1.   Il ricorso è accolto . §    Di conseguenza, la decisione su reclamo IC 2020 è annullata e gli atti vengono ritornati all’UT, affinché proceda nuovamente alla determinazione del valore locativo, ai sensi dei considerandi. 2.   Non si prelevano né tassa di giustizia né spese processuali. 3.   Contro il presente giudizio è dato ricorso in materia di diritto pubblico al Tribunale federale in Losanna, entro 30 giorni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