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80.2021.221 vom 28. März 2022</w:t>
      </w:r>
    </w:p>
    <w:p>
      <w:r>
        <w:t>TI Tribunale d'appello, 2022-03-28, IT</w:t>
      </w:r>
    </w:p>
    <w:p>
      <w:r>
        <w:rPr>
          <w:b/>
        </w:rPr>
        <w:t xml:space="preserve">Quelle: </w:t>
      </w:r>
      <w:r>
        <w:t>https://mcp.opencaselaw.ch/entscheid/ti_gerichte_80.2021.221</w:t>
      </w:r>
    </w:p>
    <w:p>
      <w:r>
        <w:t>FR: TI_GERICHTE 80.2021.221 du 28 mars 2022</w:t>
      </w:r>
    </w:p>
    <w:p>
      <w:r>
        <w:t>IT: TI_GERICHTE 80.2021.221 del 28 marzo 2022</w:t>
      </w:r>
    </w:p>
    <w:p>
      <w:pPr>
        <w:pStyle w:val="Heading2"/>
      </w:pPr>
      <w:r>
        <w:t>Regeste</w:t>
      </w:r>
    </w:p>
    <w:p>
      <w:r>
        <w:t>Imposta sulla sostanza: valutazione della sostanza mobiliare, stima di un fondo d’investimento risultante dall’attestazione della banca depositaria, vincolante</w:t>
      </w:r>
    </w:p>
    <w:p>
      <w:pPr>
        <w:pStyle w:val="Heading2"/>
      </w:pPr>
      <w:r>
        <w:t>Erwägungen</w:t>
      </w:r>
    </w:p>
    <w:p>
      <w:r>
        <w:rPr>
          <w:b/>
        </w:rPr>
        <w:t>E. 1</w:t>
      </w:r>
    </w:p>
    <w:p>
      <w:r>
        <w:t>Controversa nel caso di specie è la commisurazione dell’imposta sulla sostanza e più in particolare la valutazione delle quote del Fondo d’investimento “__________” detenute dal contribuente a fine 2014 e a fine 2015. Il ricorrente ritiene che il valore indicato sull’attestato fiscale rilasciato dalla __________ sia manifestamente troppo elevato, rispetto al vero valore delle quote del fondo __________. L’UT è di diversa opinione e sostiene invece di aver accertato correttamente la sostanza del ricorrente, basandosi sugli estratti patrimoniali al 31.12.2014 e 2015, prodotti dal contribuente e allestiti dalla __________.</w:t>
      </w:r>
    </w:p>
    <w:p>
      <w:r>
        <w:rPr>
          <w:b/>
        </w:rPr>
        <w:t>E. 2.1</w:t>
      </w:r>
    </w:p>
    <w:p>
      <w:r>
        <w:t>L’imposta sulla sostanza ha per oggetto la sostanza netta totale (art. 40 cpv. 1 LT; art. 13 cpv. 1 LAID). La sostanza gravata da usufrutto è computata all’usufruttuario (art. 40 cpv. 2 LT; art. 13 cpv. 2 LAID). Essa si compone della totalità degli attivi mobiliari e immobiliari del contribuente, fatta eccezione per quei beni esplicitamente esentati dall’imposta in virtù di una disposizione speciale, quali le suppellettili domestiche e gli oggetti personali di uso corrente (art. 44 cpv. 2 LT).</w:t>
      </w:r>
    </w:p>
    <w:p>
      <w:r>
        <w:rPr>
          <w:b/>
        </w:rPr>
        <w:t>E. 2.2</w:t>
      </w:r>
    </w:p>
    <w:p>
      <w:r>
        <w:t>Come detto, all’imposta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2 a ediz., Basilea/Ginevra/ Monaco 2002, Vol. I/1, n. 2 ad art. 13 LAID, p. 245). Vi rientra pertanto l’insieme dei diritti valutabili in denaro, che spettano ad una persona secon</w:t>
      </w:r>
    </w:p>
    <w:p>
      <w:r>
        <w:rPr>
          <w:b/>
        </w:rPr>
        <w:t>E. 3.1</w:t>
      </w:r>
    </w:p>
    <w:p>
      <w:r>
        <w:t>Il contribuente ha allegato alla propria dichiarazione l’attestazione fiscale rilasciata dalla __________. In particolare si evince che il 29.1.2014 l’Istituto di credito ha immesso sul deposito del contribuente 1'913.393 quote del fondo __________ –A- (fondo domiciliato nelle __________, avente codice ISIN __________, e commercializzato nelle __________ cfr. https://markets.ft.com , sito consultato il 14.3.2022) trasferiti dal conto della __________. L’estratto fiscale al 31.12.2014 indicava, sempre per quanto concerne il __________, un totale di 1'913.39 quote (rimasto invariato dal 29.1.2014) ed un valore imponibile in fr. 218'402.- (fr. 114.8753 per quota). Per quanto riguardava invece il periodo fiscale 2015, al 31.12.2015, il saldo delle quote era aumentato a 2'083.88 (il 17.7.2015 era stato effettuato un acquisto di 170.49 quote) ed il valore era pari a fr. 215'384.- (fr 103.2526 per quota).</w:t>
      </w:r>
    </w:p>
    <w:p>
      <w:r>
        <w:rPr>
          <w:b/>
        </w:rPr>
        <w:t>E. 3.2.1</w:t>
      </w:r>
    </w:p>
    <w:p>
      <w:r>
        <w:t>Secondo l’art. 125 cpv. 1 lit. c LIFD (di analogo tenore l’art. 199 cpv. 1 lit. c LT) le persone fisiche devono allegare alla dichiarazione d’imposta, in particolare: a. (…); b. (…); c. Gli elenchi completi dei titoli, crediti e debiti.</w:t>
      </w:r>
    </w:p>
    <w:p>
      <w:r>
        <w:rPr>
          <w:b/>
        </w:rPr>
        <w:t>E. 3.2.2</w:t>
      </w:r>
    </w:p>
    <w:p>
      <w:r>
        <w:t>Compilando l’elenco titoli, il contribuente indica tutti gli averi di risparmio ed altri investimenti in capitale che lui stesso, il suo coniuge ed i figli sotto la sua autorità parentale detengono. Spetta all’usufruttuario dichiarare il capitale ed i redditi di cui è titolare nella sua dichiarazione fiscale. La data determinante è la fine del periodo fiscale. L’elenco titoli dà un’immagine statica e non riflette i cambiamenti avvenuti sugli averi durante l’anno ( Althaus-Houriet , Commentaire romand LIFD [a cura di Noël/Aubry Girardin], Basilea, 2a ed, n. 36-37 ad art. 125 LIFD; Beusch/Rohner , Möglichkeiten und Grenzen der elektronischen Einreichung von Steuererklärungen bei den direkten Steuern, in zsis) 2006, Aufsätze Nr. 4); Zweifel/Hunziker , Kommentar DBG [a cura di Zweifel/Beusch], Basilea, 3a. ed., n. 19-22 ad art. 125 LIFD). La prassi delle banche svizzere di rilasciare delle attestazioni relative alla situazione patrimoniale al 31 dicembre ha lo scopo di fornire ai clienti documenti idonei ad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 Beusch/Rohner , op. cit., pag. 18; Locher , Kommentar DBG, Basilea 2015, n.</w:t>
      </w:r>
    </w:p>
    <w:p>
      <w:r>
        <w:rPr>
          <w:b/>
        </w:rPr>
        <w:t>E. 3.3</w:t>
      </w:r>
    </w:p>
    <w:p>
      <w:r>
        <w:t>L’art. 127 cpv. lit. b LIFD prevede che devono rilasciare attestazioni scritte al contribuente, i creditori e i debitori, sull’esistenza, l’ammontare, gli interessi e le garanzie di crediti. Di analogo tenore l’art. 201 cpv. 1 lit. b LT. Gli obblighi di produrre le attestazioni all’autorità fiscale spettano, in prima linea, al contribuente. Oltre al dovere di presentare il certificato all’autorità fiscale, nonché all’obbligo di fare tutto quanto possibile per permettere una valutazione completa e corretta della propria situazione, si aggiunge l’esigenza, imposta al contribuente, di controllare gli attestati da trasmettere. Quest’ultimo, per quanto possibile e ragionevole, deve verificare personalmente la completezza e la correttezza degli attestati. Se del caso, è il contribuente a dover chiedere al terzo, che ha l’obbligo di rilasciare delle attestazioni, di completare o modificare l’attestato. Nel caso in cui il terzo dovesse rifiutarsi di rilasciare un attestato oppure di modificare un dato inesatto, il contribuente deve informare l’autorità fiscale. In caso di inosservanza dell’obbligo di controllo – che gli compete – il contribuente viola gli obblighi procedurali (art. 125 cpv. 1 lit. a LIFD e art. 126 cpv. 2 LIFD) ( Zweifel/Hunziker , Kommentar DBG [a cura di Zweifel/Beusch], op. cit., n. 19-22 ad art. 125 LIFD).</w:t>
      </w:r>
    </w:p>
    <w:p>
      <w:r>
        <w:rPr>
          <w:b/>
        </w:rPr>
        <w:t>E. 3.4</w:t>
      </w:r>
    </w:p>
    <w:p>
      <w:r>
        <w:t>Ora il ricorrente, come visto, ha correttamente proceduto a presentare la documentazione bancaria relativa al sito visualizzato il 14.3.2022), dal quale si può evincere una pressoché ininterrotta perdita di valore del fondo dal 2014 in avanti. Al 31.10.2021 il valore di una quota era pari a USD 20.20. Paragonando il grafico prodotto dall’insorgente ed estrapolato dal sito del Financial times alla documentazione bancaria della banca depositaria __________ in relazione al valore delle quote del __________, si può facilmente verificare il prezzo di ogni singola quota del fondo alla fine del 2014 e del 2015: i valori di queste due fonti sono i medesimi (allegato doc. F alla lettera consegnata brevi manu il 9.3.2022 dall’insorgente).</w:t>
      </w:r>
    </w:p>
    <w:p>
      <w:r>
        <w:rPr>
          <w:b/>
        </w:rPr>
        <w:t>E. 3.5</w:t>
      </w:r>
    </w:p>
    <w:p>
      <w:r>
        <w:t>Il ricorrente, produce, a suffragio della sua tesi e meglio del valore pressoché nullo delle quote del __________, la corrispondenza e-mail intrattenuta tra fine 2016 ed il 2017 con il manager del fondo, __________, dalla quale trasparirebbe la difficoltà nella vendita delle quote. Ora, come visto in precedenza, l’autorità fiscale, nel determinare il valore del __________ si è correttamente basata sull’attestato fiscale della banca __________. Il contribuente non ha contestato il valore del fondo vis-à-vis della banca: egli ha infatti prodotto, unitamente alle dichiarazioni 2014 e 2015, l’attestato fiscale, senza sollevare problematiche di sorta né indicare di essersi adoperato con la Banca, rispettivamente con il gestore del fondo per modificare il valore delle quote. Unicamente con il reclamo presentato il 1°.10.2018 egli ha asserito che il valore del fondo era nullo, dato che le sue quote risultavano di fatto invendibili e ciò sulla base della sola conversazione telematica avuta con il gestore del fondo (nel 2016-2017). RI 1 dimentica tuttavia che sub judice sono unicamente i periodi fiscali 2014 e 2015: lo stato della sostanza si determina, in maniera statica, al 31.12. Non possono essere tenute in considerazione ulteriori variazioni di valore future. In questi due periodi, il fondo non aveva ancora perso un’importante parte del suo valore (come è invece attualmente il caso, sulla base delle informazioni finanziarie più recenti e risalenti alla fine di ottobre del 2021, cfr. sito del Financial Times), ma si attestava attorno ai fr. 100.- per quota, come stabilito anche dalla stessa banca presso la quale erano depositati i titoli nonché dal sito __________ (fonte citata dallo stesso contribuente).</w:t>
      </w:r>
    </w:p>
    <w:p>
      <w:r>
        <w:rPr>
          <w:b/>
        </w:rPr>
        <w:t>E. 3.6</w:t>
      </w:r>
    </w:p>
    <w:p>
      <w:r>
        <w:t>In conclusione non vi sono agli atti elementi per cui questo Tribunale possa, rispettivamente debba discostarsi dal valore delle singole quote del __________ attestato ufficialmente dalla banca depositaria ____________________ al 31.12.2014 ed al 31.12.2015, che corrisponde a quanto indicato anche dai dati reperiti e consultati sul sito __________. Si ricorda a titolo abbondanziale che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(sentenza TF 2C_11/2018 del 10.12.2018, consid. 6.2.; DTF 133 II 153 e 121 II 257; ASA 64 p. 493; StE 1990 B 13.1 n. 8). 4.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presente giudizio è dato ricorso in materia di diritto pubblico al Tribunale federale in Losanna, entro 30 giorni (art. 146 LIFD; art. 73 LA                                          Copia per conoscenza: - municipio di __________. per la Camera di diritto tributario del Tribunale d’appello Il presidente:                                                          La segretaria:</w:t>
      </w:r>
    </w:p>
    <w:p>
      <w:r>
        <w:rPr>
          <w:b/>
        </w:rPr>
        <w:t>E. 7</w:t>
      </w:r>
    </w:p>
    <w:p>
      <w:r>
        <w:t>ad art. 125; Richner/Frei/Kaufmann/Rohner , Kommentar Zürcher StG, Zurigo, 4a. ed., n. 12 ad art. 134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