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80.2021.101 vom 30. März 2021</w:t>
      </w:r>
    </w:p>
    <w:p>
      <w:r>
        <w:t>TI Tribunale d'appello, 2021-03-30, IT</w:t>
      </w:r>
    </w:p>
    <w:p>
      <w:r>
        <w:rPr>
          <w:b/>
        </w:rPr>
        <w:t xml:space="preserve">Quelle: </w:t>
      </w:r>
      <w:r>
        <w:t>https://mcp.opencaselaw.ch/entscheid/ti_gerichte_80.2021.101</w:t>
      </w:r>
    </w:p>
    <w:p>
      <w:r>
        <w:t>FR: TI_GERICHTE 80.2021.101 du 30 mars 2021</w:t>
      </w:r>
    </w:p>
    <w:p>
      <w:r>
        <w:t>IT: TI_GERICHTE 80.2021.101 del 30 marzo 2021</w:t>
      </w:r>
    </w:p>
    <w:p>
      <w:pPr>
        <w:pStyle w:val="Heading2"/>
      </w:pPr>
      <w:r>
        <w:t>Regeste</w:t>
      </w:r>
    </w:p>
    <w:p>
      <w:r>
        <w:t>Reddito della sostanza immobiliare: valore locativo, metodo comparativo, appartamento in PPP, comparazione con due appartamenti, dati inattendibili</w:t>
      </w:r>
    </w:p>
    <w:p>
      <w:pPr>
        <w:pStyle w:val="Heading2"/>
      </w:pPr>
      <w:r>
        <w:t>Erwägungen</w:t>
      </w:r>
    </w:p>
    <w:p>
      <w:r>
        <w:rPr>
          <w:b/>
        </w:rPr>
        <w:t>E. 1</w:t>
      </w:r>
    </w:p>
    <w:p>
      <w:r>
        <w:t>(UT) ha stabilito in fr. 20'000.– il valore locativo della sua proprietà immobiliare, spiegando di averlo “rettificato, tenuto conto del valore dell'immobile e dei canoni locatizi reperiti per appartamenti di medesima costituzione all'interno della stessa palazzina”. C. Con reclamo del 25 maggio 2020 la contribuente ha contestato, in particolare, il valore locativo stabilito dall’autorità di tassazione, sottolineando che quello da lei dichiarato era stato concordato con lo stesso UT nel 2009, in seguito a un suo “ricorso”. Il medesimo valore era stato accettato dall’UT ancora per il periodo fiscale 2018 e a suo avviso non erano intervenuti significativi aumenti delle pigioni, mentre al contrario erano presenti numerosi appartamenti sfitti. L’UT ha accolto parzialmente il reclamo della contribuente, riducendo in particolar modo il valore locativo a fr. 17'000.–, con la seguente motivazione: Il valore locativo delle abitazioni primarie corrisponde mediamente al 60-70% del valore di mercato della pigione; in mancanza di altri elementi utili al suo calcolo, esso corrisponde, di regola, al 90% del valore di reddito determinato dall’Ufficio di stima nella decisione di stima, art. 1 del Decreto esecutivo concernente l’imposizione delle persone fisiche valido per il periodo fiscale 2019. L’AFC ha emanato informazioni fiscali (edite dalla Conferenza Svizzera delle imposte), marzo 2015, dove viene indicato che i valori locativi sono generalmente calcolabili grazie al metodo comparativo; e meglio il paragone con altri appartamenti simili, ceduti in locazione. La contribuente possiede un appartamento in via __________, fondo __________ PPP __________, detiene 52 millesimi. Dall’esame degli affitti percepiti da appartamenti dello stesso fondo, si evince come un appartamento di 50 millesimi sia affittato a CHF 28'200.00 annui, e un secondo appartamento di 54 millesimi sia locato a CHF 26'022.00 annui. A fronte di quanto esposto in precedenza, viene valutato un valore locativo abitazione primaria pari a CHF 17'000.00. D. Con tempestivo ricorso alla Camera di diritto tributario, RI 1, rappresentata dal Dr. oec. RA 1, postula la riduzione del valore locativo della sua abitazione a fr. 13'680.–, come nei periodi precedenti. In base a una ricerca di offerte comparabili nel quartiere, la ricorrente sostiene che “il canone di mercato implicitamente sostenuto dall’UT [sarebbe] manifestamente superiore a quanto i proprietari fondiari possano permettersi di richiedere in questo momento”. A suo parere il valore locativo di fr. 13 680.–, applicato fino al periodo fiscale 2018, implicherebbe una pigione di fr. 1900.– mensili, situandosi così “nella fascia superiore di prezzo” , e non giustificherebbe pertanto una correzione al rialzo del valore locativo. L’insorgente si confronta poi con i termini di paragone adottati dall’UT per determinare il valore locativo della sua abitazione. Riconosce dapprima che gli appartamenti presi in considerazione siano idonei nel raffronto. Ciò nonostante l'UT sarebbe caduto in errore considerando la PPP __________ dei coniugi __________ ceduta in locazione, quando in realtà è da loro abitata da anni. Per contro la PPP __________ sarebbe stata ceduta in locazione, con un contratto del 2009, per una pigione di fr. 25’200.– annui e non di fr. 28'200.–, come affermato dall'UT. Escludendo dalla pigione dell’unico appartamento ceduto in locazione il costo dei due parcheggi, inclusi nel canone mensile, si raggiungerebbe l’importo di fr. 21’600.–. Applicando la ponderazione del 60%, il valore locativo del suo immobile potrebbe essere stimato in fr. 13’500.–, come è stato fino al 2018. La ricorrente aggiunge che le norme del Codice delle obbligazioni che proteggono l’inquilino dalle pigioni abusive consentirebbe di ridurre la pigione di fr. 21'600.–, pattuita nel 2009, a fr. 17'861.–, tenendo conto della diminuzione dei tassi d’interesse e della leggera deflazione. Con la ponderazione del 60% ex art. 20 cpv.</w:t>
      </w:r>
    </w:p>
    <w:p>
      <w:r>
        <w:rPr>
          <w:b/>
        </w:rPr>
        <w:t>E. 1.1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1.2</w:t>
      </w:r>
    </w:p>
    <w:p>
      <w:r>
        <w:t>La legge federale sull’armonizzazione delle imposte dirette dei cantoni e dei comuni obbliga i cantoni ad assoggettare all’imposta sul reddito il valore locativo (in virtù del combinato disposto dell’art. 2 cpv. 1 lett. a e dell’art.</w:t>
      </w:r>
    </w:p>
    <w:p>
      <w:r>
        <w:rPr>
          <w:b/>
        </w:rPr>
        <w:t>E. 1.3</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2.</w:t>
      </w:r>
    </w:p>
    <w:p>
      <w:r>
        <w:rPr>
          <w:b/>
        </w:rPr>
        <w:t>E. 2</w:t>
      </w:r>
    </w:p>
    <w:p>
      <w:r>
        <w:t>LT il valore locativo della ricorrente ammonterebbe a fr. 11’145.–. E. Nelle sue osservazioni del 7 maggio 2021 l'UT Lugano propone di respingere il ricorso e contesta che i canoni di locazione portati dalla ricorrente a titolo di esempio siano comparabili con la sua proprietà. Diritto 1.</w:t>
      </w:r>
    </w:p>
    <w:p>
      <w:r>
        <w:rPr>
          <w:b/>
        </w:rPr>
        <w:t>E. 2.1</w:t>
      </w:r>
    </w:p>
    <w:p>
      <w:r>
        <w:t>Per quanto riguarda le modalità di determinazione del valore locativo, secondo l’art. 1 del decreto esecutivo del 12 dicembre 2018 concernente l’imposizione delle persone fisiche valido per il periodo fiscale 2019,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w:t>
      </w:r>
    </w:p>
    <w:p>
      <w:r>
        <w:rPr>
          <w:b/>
        </w:rPr>
        <w:t>E. 2.2</w:t>
      </w:r>
    </w:p>
    <w:p>
      <w:r>
        <w:t>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3. 3.1. Mentre nella decisione di tassazione del 20 maggio 2020 ha fatto riferimento al “valore dell’immobile e [ai] canoni locatizi reperiti per appartamenti di medesima costituzione all’interno della stessa palazzina” , nella decisione su reclamo impugnata l’autorità di tassazione ha precisato di aver preso in considerazione il canone di locazione versato dagli inquilini di due appartamenti facenti parte dello stesso condominio. 3.2. L'AFC ha emanato delle informazioni fiscali (edite dalla Confe-renza svizzera delle imposte), nel marzo del 2015, proprio in re-lazione all'imposizione del valore locativo. In merito al calcolo del valore locativo, nel documento si indica (a pagina 9, punto 4.1, “Le principe du loyer comparable” )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 3.3. Nella determinazione del valore locativo l'autorità fiscale si è riferita all’ammontare delle pigioni annue di due appartamenti, situati nello stesso condominio e ceduti in locazione dai rispettivi proprietari. Tuttavia, la ricorrente ne ha contestato la correttezza. In quanto membro di comitato del condominio conosce personalmente i proprietari dei due immobili: nel primo caso l’appartamento costituirebbe l’abitazione primaria dei proprietari e non sarebbe ceduto in locazione; nel secondo caso, l’appartamento sarebbe sì dato in locazione ma la pigione annua pagata dall’inquilino sarebbe inferiore rispetto a quanto indicato dall'UT. In effetti, dagli atti dell’Ufficio di tassazione risulta che uno dei due appartamenti sia occupato dai proprietari, i quali hanno dichiarato un valore locativo. Cade pertanto uno dei termini di paragone su cui si sarebbe basato il calcolo del valore locativo contestato. Anche volendo ammettere che l’altro appartamento preso in considerazione per stabilire il valore locativo della ricorrente sia effettivamente comparabile per superficie, posizione e condizioni, è perlomeno dubbio che un unico termine di confronto possa essere sufficiente. In ogni caso, l’insorgente contesta il valore preso in considerazione dall’autorità fiscale. Ha prodotto infatti copia di un contratto di locazione, relativo a un appartamento di 3.5 locali e di 122 mq, sottoscritto nel 2009 fra due contraenti i cui nomi sono stati oscurati. Nella pigione pattuita di fr. 2'100.– al mese è incluso l’uso di due parcheggi nel garage condominiale. Secondo la ricorrente la pigione per il solo appartamento dovrebbe allora essere ridotta a fr. 1'800.– al mese. Il valore locativo ammonterebbe in tal modo a fr. 13'500.–. Nelle sue osservazioni, l’Ufficio di tassazione non ha preso posizione in merito alle censure della ricorrente, limitandosi a ritenere non attendibili gli esempi citati nel ricorso, riferiti a suo avviso a “immobili con canoni locatizi particolarmente vantaggiosi” . Il calcolo intrapreso dall’Ufficio di tassazione non può quindi essere considerato adeguato per determinare il valore locativo litigioso. 3.4. Il metodo comparativo adottato dall’autorità di tassazione non permette in tal modo di giungere a conclusioni affidabili. D’altronde, non si comprende come possa l’applicazione di questo metodo aver condotto l’UT a fissare a fr. 20'000.– nella prima decisione di tassazione il valore locativo che è poi stato commisurato in fr. 17'000.– nella decisione impugnata. D’altronde, l’autorità fiscale ha proceduto alla raccolta dei dati e alla loro elaborazione senza coinvolgere la ricorrente, violando in tal modo il suo diritto di essere sentita. In queste circostanze, la decisione impugnata deve essere annullata e gli atti devono essere rinviati all'autorità di tassazione per una nuova decisione. 4. Visto l’esito del ricorso, non si prelevano tassa di giustizia e spese processuali. Alla contribuente, rappresentata, è assegnata un’indennità per ripetibili. Per questi motivi, visti per le spese gli art. 144 LIFD e 231 LT dichiara e pronuncia 1.   La decisione su reclamo del 30 marzo 2021 è annullata e gli atti sono rinviati all'Ufficio di tassazione per una nuova decisione. 2.   Non si prelevano né tassa di giustizia né spese processuali. Alla ricorrente è riconosciuta un’indennità di fr. 500.– per ripetibili. 3.   Contro il presen           Copia per conoscenza: - municipio di . per la Camera di diritto tributario del Tribunale d’appello Il presidente: La segretari a :</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