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 vom 27. November 2021</w:t>
      </w:r>
    </w:p>
    <w:p>
      <w:r>
        <w:t>TI Tribunale d'appello, 2021-11-27, IT</w:t>
      </w:r>
    </w:p>
    <w:p>
      <w:r>
        <w:rPr>
          <w:b/>
        </w:rPr>
        <w:t xml:space="preserve">Quelle: </w:t>
      </w:r>
      <w:r>
        <w:t>https://mcp.opencaselaw.ch/entscheid/ti_gerichte_80.2021.1</w:t>
      </w:r>
    </w:p>
    <w:p>
      <w:r>
        <w:t>FR: TI_GERICHTE 80.2021.1 du 27 novembre 2021</w:t>
      </w:r>
    </w:p>
    <w:p>
      <w:r>
        <w:t>IT: TI_GERICHTE 80.2021.1 del 27 novembre 2021</w:t>
      </w:r>
    </w:p>
    <w:p>
      <w:pPr>
        <w:pStyle w:val="Heading2"/>
      </w:pPr>
      <w:r>
        <w:t>Regeste</w:t>
      </w:r>
    </w:p>
    <w:p>
      <w:r>
        <w:t>Condono: presupposti, stato di bisogno, calcolo del minimo vitale, contribuente che convive con figlio maggiorenne</w:t>
      </w:r>
    </w:p>
    <w:p>
      <w:pPr>
        <w:pStyle w:val="Heading2"/>
      </w:pPr>
      <w:r>
        <w:t>Erwägungen</w:t>
      </w:r>
    </w:p>
    <w:p>
      <w:r>
        <w:rPr>
          <w:b/>
        </w:rPr>
        <w:t>E. 24</w:t>
      </w:r>
    </w:p>
    <w:p>
      <w:r>
        <w:t>giugno/11 agosto 2020, tramite formulario ufficiale, RI 1 si rivolgeva all’Ufficio esazione e condoni, postulando il condono delle imposte cantonali fr. 1'735.90 e comunali fr. 1'635.05 2018 per complessivi fr. 3'372.95. A sostegno della sua domanda, la contribuente dichiarava una difficoltà finanziaria e la presa a carico della figlia __________ che aveva perso il lavoro e si ritrovava senza attività lucrativa. B. L’RS 1, con decisione del 22 ottobre 2020 respingeva la domanda. Argomentava anzitutto che le spese correnti mensili si attestavano a fr. 3'088.-, poiché le spese di sostentamento della figlia maggiorenne non potevano essere ammesse, mentre le entrate ammontavano a fr. 3'696.-. Motivo per cui la disponibilità mensile di RI 1 era pari a fr. 608.-. Osservava inoltre che, nonostante il disagio affermato, la contribuente in data 17 dicembre 2019 aveva immatricolato una vettura __________, per la quale pagava un leasing mensile di fr. 290.-. Ad ogni modo anche il preavviso municipale del 18 agosto 2020 era negativo per un condono sull’imposta comunale 2018. Di conseguenza, in considerazione della disponibilità mensile non si ravvisavano le condizioni previste dal legislatore per il condono dell’imposta. C. In data 18 novembre 2020 la contribuente interponeva reclamo contro la decisione citata. La ricorrente sottolineava di essersi presa a carico la figlia maggiorenne e di aiutare finanziariamente il padre che vive in __________. Inoltre, spiegava che l’acquisto di un veicolo a leasing era necessario in quanto quello precedente si era rotto e, visto il suo stato di salute (dolori fisici), aveva la necessità di restare autonoma. Sosteneva infine di avere diversi debiti, che negli anni si erano moltiplicati, e di necessitare di un’operazione medica e di alcune cure dentarie. D. Con decisione del 27 novembre 2020, l’Ufficio esazione e condoni respingeva il reclamo. Nella motivazione l’autorità confermava la disponibilità mensile dalla ricorrente, la quale si attestava a fr. 608.-, quale differenza tra le entrate e spese correnti mensili. Di conseguenza, la contribuente poteva far fronte al pagamento delle imposte ancora scoperte senza cadere in una situazione di “disagio”. Infatti le sue entrate e uscite venivano così commisurate: Entrate rendita AI fr. 1'866.- alimenti versati dall’ex marito fr. 1'830.- Totale fr. 3'696.- Spese importo base mensile fr. 1’200.- affitto fr. 1’200.- oneri sociali (AVS, AI, IPG) fr. 108.- cassa malati fr. 475.- spese mediche fr. 105.- Totale fr. 3'088.- Sottolineava inoltre che, tenuto conto della situazione, la pigione era stata riconosciuta interamente a carico della contribuente nonostante la figlia maggiorenne fosse tenuta a partecipare alle spese dell’economia domestica. Rilevava infine che, dalla dichiarazione d’imposta 2018, la ricorrente risultava possedere fr. 18'958.- in fondi d’investimento strategici presso __________ e che a suo nome risultava immatricolata una __________ del valore di fr. 34'240.-, per la quale pagava un leasing mensile di fr. 290.-. E. Con tempestivo ricorso alla Camera di diritto tributario, RI 1 insorge contro la decisione su reclamo del 27 novembre 2020. A sostegno della sua domanda la contribuente sottolinea che si trova in una situazione economica molto difficile e che, a seguito della pandemia da Covid-19, non riesce più a provvedere ad un pagamento regolare delle imposte, anche in considerazione del fatto che la figlia ha perso il lavoro e ora vive a casa con lei avendo intrapreso una nuova formazione professionale e non svolgendo più alcuna attività lucrativa. In aggiunta, sostiene di dover far fronte ad un intervento dentale costoso e che i soldi rimasti sul suo conto deposito le serviranno per urgenze sanitarie. A dire della ricorrente potrebbe infine avere un’ulteriore fattura da pagare pari a fr. 13.000.- quale spesa per una nota d’onorario del proprio avvocato per la pratica del divorzio. F. Con osservazioni del 5 gennaio 2021, l’Ufficio esazione e condoni chiede che il ricorso venga respinto. Sostanzialmente si riconferma nelle precedenti motivazioni e meglio quelle contenute dapprima nella decisione di diniego del condono e in seguito in quella su reclamo. Con le proprie osservazioni del 12/14 gennaio 2021, il Municipio del Comune di __________ propone a sua volta di respingere il ricorso. Con scritto 15/18 gennaio 2021 la ricorrente inoltra alla presente Camera un calcolo della disponibilità mensile “attuale” e diversi documenti tra cui spese mensili/annuali relative agli anni 2019-2021, un precetto esecutivo notificatole nel corso del 2009, un estratto patrimoniale del 16 dicembre 2020, un estratto dei movimenti di conto per l’anno 2020/21, un preventivo del dentista del 12 gennaio 2021 nonché una fattura per sedute di psicoterapia della figlia __________ del 7 gennaio 2021. Diritto 1. 1.1. A far tempo dal 1.1.2016 è entrata in vigore la Legge federale sul condono dell’imposta (RU 2015 9). Scopo principale di questa legge è la delega integrale ai Cantoni della competenza di giudicare le domande di condono dell’imposta federale diretta. Con la Legge federale concernente il condono dell’imposta, i Cantoni diventano gli unici responsabili per l’esame di (tutte) le domande di condono concernenti l’imposta federale diretta. Con questa nuova legge sono state modificate alcune disposizioni dell’Ordinanza sul condono d’imposta (RS 642.121). Sono state inserite nella Legge sull’imposta federale diretta (LIFD, RS 642.11) delle disposizioni che prima si trovavano nell’ordinanza, per esempio per ciò che attiene ad alcuni motivi di diniego del condono dell’imposta elencati nel nuovo art. 167a LIFD, come anche le cause concernenti la situazione di bisogno, così come i diritti e gli obblighi procedurali del richiedente (art. 167d LIFD) ( Vorpe , Novità legislative nel campo del diritto tributario, RtiD II-2015, p. 515 ss.). L’autorità competente a statuire sulle domande di condono in materia d’imposte cantonali (art. 22 cpv. 1 RLT) e d’imposte federale dirette (cfr. art. 167 b LIFD e art. 8 cpv. 1 dell’Ordinanza federale concernente l’esame delle domande di condono dell’imposta federale diretta, RS 642.121; art. 4 cpv. 5 del Regolamento di applicazione della Legge federale sull’imposta federale diretta, RL 642.150) è l’Ufficio esazione e condoni. 1.2. Dal 1° gennaio 2009, in virtù della nuova garanzia della via giudiziaria prevista dall’art. 29 a Cost. fed., le decisioni dell’UEC sono impugnabili dinanzi a questa Camera (art. 246 cpv. 3 LT e 5a del Regolamento di applicazione della Legge federale sull’imposta federale diretta, rispettivamente art. 167g LIFD).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 3. 3.1. 3.1.1. Come già ricordato, secondo l’art. 246 cpv. 1 LT,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 3.1.2. 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(lett. a ); · quando l’intero importo dovuto è sproporzionato rispetto alla sua capacità finanziaria (lett. b ).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 3.2. 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lett. a cifra 1); - costi elevati a seguito di malattia, infortunio o cura non sopportati da terzi (art. 3 cpv. 1 lett. a cifra 2); - un lungo periodo di disoccupazione (art. 3 cpv. 1 lett. a cifra 3); - un forte indebitamento dovuto a spese straordinarie che sono in relazione con la situazione personale e delle quali la persona non è responsabile (art. 3 cpv. 1 lett. b ). 3.3. 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(lett. a ), gli elevati pegni immobiliari (lett. b ), i debiti del piccolo credito dovuti a un tenore di vita elevato (lett. c ) e considerevoli perdite commerciali o di capitale per le persone esercitanti un’attività lucrativa indipendente, se ciò mette in pericolo l’esistenza economica della persona e i posti di lavoro (lett. d ). Secondo il capoverso 3 dell’art. 3 dell’Ordinanza, nemmeno le perdite di reddito e le spese che sono già state prese in considerazione all’atto della tassazione o del calcolo dell’imposta non sono riconosciute come cause. 3.4. 3.4.1. 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 3.4.2. In questi ultimi anni, si è sviluppata una prassi in questo settore che potrebbe essere riassunta con la nozione di «meritevole di condono»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 3.5. 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Handkommentar zum DBG, 3ª ediz., Zurigo 2009,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(decisione TAF n. A-7824/2008 del 15 novembre 2010).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(decisioni TAF n. A-32324/2011 del 23 aprile 2012, n. A-6866/2008 del 2 marzo 2011, n. A-6466/2008 del 1° giugno 2010). 3.6. 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finalizzare al miglioramento della sua capacità economica. 4. 4.1. Venendo al caso in esame, il calcolo intrapreso dall’RS 1, per stabilire la disponibilità mensile della ricorrente, appare fin troppo prudenziale. 4.2. Infatti, la Circolare n. 35/2009 del 20 agosto 2009 della Camera di esecuzione e fallimenti del Tribunale d’appello sulle modalità di calcolo del minimo d’esistenza agli effetti del diritto esecutivo in conformità dell’art. 93 LEF dispone che, se due persone che vivono in comunione domestica senza figli dispongono entrambe di un reddito, si deve applicare l’importo base per coniugi ridotto di regola (ma al massimo) della metà (DTF 130 III 756 segg.). Nella fattispecie, l’importo base mensile di riferimento non dovrebbe essere quello per il debitore che vive da solo bensì la metà di quello per coniugi, per due persone che vivono in regime di unione domestica registrata o per una coppia con figli pari a fr. 1'700.-. L’importo da considerare ammonterebbe pertanto a fr. 850.- (fr. 1'700.- / 2) e non a fr. 1'200.- (importo base mensile per debitore che vivo da solo). 4.3. Anche il calcolo relativo al costo delle spese per la pigione è discutibile, in quanto la Circolare n. 35/2009 prevede che, in caso di comunione domestica anche con figli maggiorenni che vivono nell’economia domestica del debitore e che dispongono di un proprio reddito da lavoro, le spese d’abitazione quali canone locatizio e riscaldamento devono essere equamente ripartite. Nel caso in esame, quindi, le spese della pigione pari a fr. 1'200.- devono essere suddivise a metà fra la contribuente e la figlia __________, con la conseguenza che alla contribuente potrebbe essere riconosciuto unicamente un importo pari a fr. 600.- quale costo per l’alloggio. Visto e considerato che la figlia della ricorrente vive presso di lei, si giustifica una riduzione delle spese mensili con riferimento alla contribuente. Come meglio si dirà in seguito, d’altra parte, l’insorgente non comprova in alcun modo che la figlia dipenda dal sostegno finanziario della madre per provvedere al proprio sostentamento. 4.4. Tenendo conto delle modifiche indicate, la disponibilità mensile dovrebbe ammontare a fr. 1'558.- e non già fr. 608.-, e meglio: Entrate rendita AI fr. 1'866.- alimenti versati dall’ex marito fr. 1'830.- Totale fr. 3'696.- Spese importo base mensile fr. 850.- affitto fr. 600.- oneri sociali (AVS, AI, IPG) fr. 108.- cassa malati fr. 475.- spese mediche fr. 105.- Totale fr . 2'138.- 5. 5.1. Ad ogni modo, pur volendo ammettere una disponibilità mensile pari a fr. 608.-, così come definita dall’UEC, il ricorso non potrebbe ugualmente trovare accoglimento, essendo la stessa sicuramente sufficiente per far fronte al pagamento del debito fiscale senza cadere in conseguenze gravose. Ciò si giustifica a maggior ragione se si considerano la possibilità di pagamento rateale (cfr. art. 245 cpv. 1 LT) e la disponibilità dei capitali della contribuente presso __________. Dagli atti risulta infatti che nel corso del 2018 la ricorrente possedeva fr. 18'958.- in fondi d’investimento strategici. Gli stessi possono pertanto essere utilizzati per far fronte al pagamento delle imposte. 5.2. Neppure il nuovo calcolo e la relativa documentazione, prodotti dalla ricorrente il 15 gennaio 2021, conducono a diverse conclusioni. In particolare, le spese legate all’automobile (rate leasing, imposta di circolazione, assicurazione) presuppongono che ne sia provata la necessità, cosa che tuttavia la ricorrente non ha fatto. È comunque difficilmente compatibile con la sua pretesa di non poter saldare i debiti fiscali il fatto che, proprio nel dicembre del 2019 abbia acquistato, mediante un contratto leasing, un veicolo nuovo del valore di fr. 34'240.–. Per quanto concerne poi il sostegno che presterebbe alla figlia, che avrebbe perso il lavoro a causa della pandemia, e al padre, residente in __________, anche in questo caso manca qualsiasi prova sia dello stato di bisogno dei pretesi beneficiari delle sue prestazioni sia dell’effettivo contributo da lei prestato. Per quanto concerne in particolar modo la figlia, la contribuente si limita ad affermare che quest’ultima avrebbe perso il lavoro di insegnante di danza e che avrebbe intrapreso “un’altra formazione”. Quale formazione avesse e quale sia quella nuova che la figlia avrebbe intrapreso tuttavia non viene né illustrato né documentato. D’altra parte, non è noto se la figlia abbia beneficiato di prestazioni di assicurazioni sociali (p. es. assicurazione contro la disoccupazione) o di contributi o sussidi pubblici (p. es. indennità di perdita di guadagno per coronavirus). Le rimanenti spese, cui la ricorrente ha fatto riferimento nel suo scritto (dentista, medici, avvocati), sono infine puramente ipotetiche. Per i denti, ha prodotto unicamente un preventivo; per una non meglio precisata “altra operazione”, si limita ad annunciare un ulteriore preventivo; per quanto concerne le spese legali (legate al divorzio, avvenuto nel 2008) rileva lei stessa che “è ancora da definire chi dovrà occuparsi del pagamento” fra lei e l’ex marito. 6. In considerazione di quanto precede, la decisione dell’Ufficio esazione e condoni di non accogliere l’istanza volta a ottenere il condono delle imposte cantonale e comunale 2018 è giustificata, motivo per cui, il ricorso deve essere respinto. Non si ravvisa, infatti, alcuna situazione di bisogno e la ricorrente avrebbe certamente potuto far fronte al debito fiscale senza alcuna gravosa conseguenza. 7. 7.1. Di conseguenza il ricorso è respinto. La tassa di giustizia e le spese sono a carico della ricorrente, soccombente. Le stesse sono comunque ridotte per agevolare la stessa nel pagamento dei debiti d’imposta. 7.2. Ai sensi dell'art. 83 lett. m della Legge del 17 giugno 2005 sul Tribunale federale (LTF; RS 173.110), nella versione in vigore dal 1.1.2016, il ricorso in materia di diritto pubblico è inammissibile contro le decisioni concernenti il condono o la dilazione del pagamento di tributi; in deroga alla presente disposizione, il ricorso è ammissibile contro le decisioni concernenti il condono dell'imposta federale diretta o dell'imposta cantonale o comunale sul reddito e sull'utile se concerne una questione di diritto di importanza fondamentale o se si tratta per altri motivi di un caso particolarmente importante. Conformemente all'art. 42 cpv. 2 seconda frase LTF (nella versione in vigore dal 1° gennaio 2016), qualora il ricorso sia ammissibile soltanto se concerne una questione di diritto di importanza fondamentale o un caso particolarmente importante per altri motivi, occorre spiegare perché la causa adempie siffatta condizione.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