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80.2020.9 vom 12. Dezember 2019</w:t>
      </w:r>
    </w:p>
    <w:p>
      <w:r>
        <w:t>TI Tribunale d'appello, 2019-12-12, IT</w:t>
      </w:r>
    </w:p>
    <w:p>
      <w:r>
        <w:rPr>
          <w:b/>
        </w:rPr>
        <w:t xml:space="preserve">Quelle: </w:t>
      </w:r>
      <w:r>
        <w:t>https://mcp.opencaselaw.ch/entscheid/ti_gerichte_80.2020.9</w:t>
      </w:r>
    </w:p>
    <w:p>
      <w:r>
        <w:t>FR: TI_GERICHTE 80.2020.9 du 12 décembre 2019</w:t>
      </w:r>
    </w:p>
    <w:p>
      <w:r>
        <w:t>IT: TI_GERICHTE 80.2020.9 del 12 dicembre 2019</w:t>
      </w:r>
    </w:p>
    <w:p>
      <w:pPr>
        <w:pStyle w:val="Heading2"/>
      </w:pPr>
      <w:r>
        <w:t>Regeste</w:t>
      </w:r>
    </w:p>
    <w:p>
      <w:r>
        <w:t>Assoggettamento illimitato: persona giuridica, sede o amministrazione effettiva, società di gestione patrimoniale, sede in un cantone dove non ha né uffici né dipendenti, amministratore domiciliato nel Canton Ticino</w:t>
      </w:r>
    </w:p>
    <w:p>
      <w:pPr>
        <w:pStyle w:val="Heading2"/>
      </w:pPr>
      <w:r>
        <w:t>Erwägungen</w:t>
      </w:r>
    </w:p>
    <w:p>
      <w:r>
        <w:rPr>
          <w:b/>
        </w:rPr>
        <w:t>E. 1.1</w:t>
      </w:r>
    </w:p>
    <w:p>
      <w:r>
        <w:t>La ricorrente è stata iscritta a Registro di commercio il 12.2.2010, con sede a __________. Dal 18.6.2013 la contribuente ha trasferito la propria sede legale nel Canton __________, “ c/o __________ 2, __________”. In virtù della decisione contestata, l’autorità fiscale ticinese ha rivendicato l’assoggettamento illimitato alle imposte a far tempo dal 2016 in considerazione del fatto che l’amministrazione effettiva è esercitata in Ticino.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La RI 1 è stata iscritta a Registro di commercio del Canton Ticino il 12.2.2010. A far tempo dal 18.6.2013 la società ha trasferito la propria sede a __________. Scopo della società è la gestione di fondi di proprietà dei clienti, la consulenza negli investimenti, la gestione e l’amministrazione patrimoniale, la sottoscrizione di contratti fiduciari, le operazioni di acquisto e di vendita, di import e di export di prodotti di ogni genere. Dal momento della sua costituzione a quello del cambiamento di sede nel Canton __________, la società era rappresentata, entrambi con diritto di firma collettiva a due da __________ (azionista unico) e da __________ (entrambi residenti a __________). Dal 18.6.2013 __________ ha ottenuto il diritto di firma individuale ed è entrato a far parte del CdA __________ (residente a __________), con diritto di firma collettiva a due. Dal 25.7.2014 al 16.3.2015 abilitato a rappresentare la società era unicamente __________ A far tempo dal 16.3.2015 hanno diritto di firma individuale per la contribuente __________ (residente ad __________) e __________ (residente a __________). 2.2. Come visto,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d’importanti infrastrutture (“ wesentliche Büroinfrastrukturen”) nel luogo di sede. 2.3. 2.3.1. Come osservato correttamente da parte dell’autorità fiscale, l’indirizzo della società a __________ corrisponde a quello della casa secondaria di vacanza di __________ e meglio la nonna di __________. Dagli atti risulta che nel 2017 l’immobile era ancora dichiarato nella propria partita fiscale da __________ (in usufrutto/diritto di abitazione) e che fungeva in parte da abitazione secondaria (veniva dichiarato il valore locativo), mentre in parte era ceduto in locazione. Dai dati reperiti dall’autorità fiscale si ha che il mapp. __________ di __________ è divenuto di proprietà esclusiva della __________ (con sede a __________, società attiva nella promozione della proprietà immobiliare) unicamente dal 9.12.2019. __________ è diventato presidente con diritto di firma collettiva a due della __________ dal 21.10.2019. 2.3.2. La società ricorrente – come visto attiva in ambito finanziario - non ha comprovato di disporre a __________ di uffici e di personale per poter svolgere la propria attività. L’UTPG ha, tra i vari accertamenti effettuati, richiesto al servizio della posta, di poter verificare chi avesse ritirato la raccomandata relativa alla decisione preliminare di assoggettamento del 17.1.2018. La missiva, giunta l’indomani a destinazione è stata ritirata allo sportello postale di __________ unicamente lunedì 22.1.2018, dall’inquilino residente presso l’abitazione di via __________ a __________. Presso l’indirizzo di __________, oltre a non disporre di personale, non sono presenti, né __________ (domiciliato in __________) né __________, attivo a __________ quale fiduciario presso __________, entrambi a beneficio di un diritto di firma individuale. 2.4. 2.4.1. L’analisi del bilancio societario (v. 2015 e 2016) invero offre alcuni spunti interessanti: oltre a confermare che la __________ non impiegava personale (come indicato sopra, la raccomandata trasmessa dall’UTPG è stata ritirata solo alcuni giorni più tardi presso lo sportello postale dall’inquilino), permette di stabilire che, nonostante il trasferimento di sede nel Canton Grigioni, la contribuente ha continuato a pagare l’affitto per gli spazi di via __________ mentre non ha corrisposto alcun canone di locazione nel Canton __________, iniziando a versare fr. 800.- a titolo di “domiciliazione” unicamente dal 2019 alla __________, (cfr. allegato doc. I al ricorso). 2.4.2. In merito alla pigione per gli spazi locati in via __________, emerge dalla disamina della contabilità, che i costi di locazione erano pari a fr. 24'000.- nel 2015 e di fr. 10'000.- nel 2016. Tali informazioni di bilancio discordano tuttavia con i dati dell’affitto estrapolati partendo dalle dichiarazioni fiscali del locatore: __________ (che figura quale inquilina nelle dichiarazioni) avrebbe corrisposto per il 2017 un canone pari a fr. 22'500.- nel 2016 di fr. 21'000.- e nel 2015 di fr. 19'000.-. Proprio per quanto riguarda la locazione, secondo la versione fornita da RI 1 la mancata disdetta del contratto di locazione – al momento del trasferimento della sede nel Canton __________ - sarebbe unicamente ascrivibile ad una dimenticanza di __________. Gli uffici erano “ (…) utilizzati dalla nuova conduttrice già prima che questa subentrasse nel contratto di locazione e soltanto nel 2016 ci si è accorti di doverlo ufficializzare. Gli importi pagati nel 2016 dalla ricorrente (CHF 10'000.-) e dalla __________ (CHF 22'000.-) al locatore rappresentano i costi totali sostenuti dalla vecchia conduttrice e dalla nuova conduttrice a titolo di pigioni, spese accessorie e conguaglio finale ed è irrilevante in materia di assoggettamento all’imposta cantonale – (…) – che i suddetti importi siano superiori al costo annuale della pigione e delle spese accessorie indicato nel contratto di locazione ”. 2.4.3. Ora pare poco verosimile che nonostante una società trasferisca la propria sede in un altro Cantone continui comunque a pagare la pigione per degli spazi asseritamente non più utilizzati. Appare pertanto chiaro lo stretto legame tra la contribuente e la __________, società che sarebbe “subentrata” al contratto di affitto di __________. L’analisi del contratto di locazione stipulato tra __________” ha permesso di estrapolare la seguente indicazione nelle osservazioni: “ Il presente contratto sostituisce e annulla il contratto precedente stipulato a nome __________ del 21.12.2009 ”. In merito alla durata del contratto emerge che la locazione ha preso avvio il 1°.4.2016 per una durata indeterminata, disdicibile con un preavviso di 3 mesi, e con prima scadenza il 29.9.2016 (e meglio appena 6 mesi dopo). Già il solo fatto che la disdetta non è stata stabilita in 6 mesi, trattandosi di un locale commerciale (come previsto dall’art. 266d CO, norma relativamente imperativa per entrambe le parti al contratto di locazione, cfr. sentenza TF 4A_364/2010 del 30.9.2010 consid. 2 e 5.2.) lascia qualche perplessità circa l’effettiva esistenza di un “nuovo contratto”. In effetti la connessione tra __________ SA ed __________ (della quale __________ è socio e gerente sin dalla sua costituzione) emerge pure dal fatto che quest’ultima società, sin dalla sua costituzione ha sempre avuto il suo recapito in via __________, allo stesso indirizzo della contribuente. Di conseguenza il cambio di intestatario del contratto, vista la convivenza delle due società, per le quali inoltre la contribuente ha corrisposto sempre il canone di locazione (anche dopo essersi trasferita), non ha alcuna rilevanza per comprovare l’effettivo cambiamento di sede della contribuente nel Canton __________ (cfr. anche allegato E alle osservazioni UTPG, e meglio la targa dell’Ufficio in via __________, riportante entrambi i nominativi di __________). 2.5. Agli atti vi sono inoltre alcune fatture – anche di società di collegamento telefonico e internet - sempre intestate a __________ e trasmesse presso l’indirizzo di via __________ a __________ anche dopo il trasferimento della sede nel Canton __________, a titolo di esempio si annoverano: · le fatture della __________ (allegato F1 alle osservazioni UTPG) del 1.2.2016, dell’1.3.2016 e dell’1.4.2016 (dalle quali si possono ritrovare i canoni relativi a svariati numeri telefonici con prefisso 091, come pure la prestazione fax to __________ del numero 0919116790 [ancora oggi intestato alla __________ con sede in __________, cfr. sito internet __________, consultato il 10.2.2021], come pure di internet); · la fattura del 21.12.2018 della ditta __________ che attesta il “servizio di trasloco da via __________ [presso lo stabile di proprietà di __________: la bucalettere n. 6 indica il nominativo di __________ e di quest’ultima società, doc. F3 e F4 alle osservazioni] – __________ e sistemazione” effettuato il 26.11.2018, per un importo di fr. 1'000.-. 2.6. 2.6.1. Secondo la contribuente, il domicilio fiscale di una società di gestione patrimoniale si determina in base ad una valutazione complessiva e ciò sulla scorta della giurisprudenza del Tribunale federale nonché della dottrina. 2.6.2. L’attività specifica di una società di gestione patrimoniale consiste nel potere di disporre del patrimonio gestito, mentre non è decisiva l’ubicazione dei titoli, che analogamente alla sede formale può essere liberamente stabilita e trasferita a piacere. In ogni caso, il Tribunale federale ritiene che il domicilio fiscale di una società di gestione patrimoniale si determini in base a una valutazione complessiva ( Zweifel/Hunziker , in: Zweifel/Beusch/Mäusli-Allenspach, op. cit., § 8, n. 11, p. 98 e giurisprudenza citata). 2.6.3. Questa Camera, in una sentenza 80.2018.275 del 31.5.2019 (confermata dal Tribunale federale con la sentenza 2C_633/2019 dell’11.11.2019) aveva analizzato il caso di una società attiva nell’ambito dell’amministrazione patrimoniale. In particolare, era stata ritenuta sede effettiva della società quella dell’amministratore unico – solo abilitato a rappresentare la società - che agiva di fatto come “pura estensione operativa dell’azionista”, residente all’estero. Questa Camera aveva inoltre indicato (consid. 2.7.): “In ogni caso, appare più che plausibile, in assenza di personale impiegato, che tutta l’attività dirigenziale e l’amministrazione effettiva della società venga svolta, sin dalla costituzione della stessa dall’AU ad X., dove la contribuente può essere raggiunta sia telefonicamente, sia tramite corrispondenza (cfr. “ Adressumleitung ”)”. 2.7. 2.7.1. Dal conto economico del 2015 e del 2016 presentato dalla ricorrente si rileva che le attività svolte da RI 1 si sono rilevate molto ridotte (le uniche entrate della società sono costituite da “ management &amp; consulting fees ” per fr. 11'550.70 nel 2015 e a fr. 15'570.68 nel 2016). Dall’esame più attento delle entrate e dai giustificativi prodotti dalla ricorrente si ha che le “Advisory Fee” fatturate dalla RI 1 alla “__________” riportano le prestazioni svolte sull’arco temporale di un anno e meglio dal 10.1.2015 al 10.1.2016 e dal 10.1.2016 al 10.1.2017. Inoltre si rileva che il bilancio è stato chiuso con una perdita d’esercizio nel 2015 di fr. 73'935.84 mentre che nel 2016 la stessa si è attestata in fr. 19'958.47. Dall’esame del bilancio si ha inoltre che la società dispone di pochi attivi, tra i quali un’autovettura, i cui costi ammontano ad oltre fr. 6'000.- nel 2015 e ad oltre 5'000.- nel 2016. 2.7.2. Secondo l’insorgente sarebbe unicamente __________, nella sua veste di azionista unico nonché presidente della __________ a svolgere l’attività dirigenziale proprio da __________. Nel ricorso si indica, a tal proposito (pag. 3): “ (…) è qui che l’azionista unico nonché presidente della RI 1 svolge l’attività dirigenziale, egli è l’unico titolare del potere di disporre del patrimonio gestito ed è perciò corretto affermare che la società deve essere illimitatamente imponibile nel Canton __________ ”. Ora appare difficile immaginare che la società possa essere effettivamente amministrata da __________, quando, per stessa ammissione della ricorrente, __________, in questa località, risiede approssimativamente per due mesi l’anno (ancorché tale versione dei fatti non sia comprovata dalla ricorrente). Si noti pure che l’UTPG, nella decisione preliminare, aveva anche fatto notare come da un lato la pagina internet della società indicasse quale recapito societario pure quello di __________ e dall’altra come il numero telefonico corrispondesse ad un prefisso di __________. 2.7.3. Ben ponderato quanto sopra, appare più che lecito affermare che l’amministrazione effettiva della società venga svolta da __________, dove risiede per tutto l’anno l’unico rappresentante della stessa residente in Svizzera, e meglio __________ (per inciso anche unico rappresentante in Svizzera con firma individuale abilitato a rappresentare __________, società ancora presente presso gli spazi di __________ a __________, dove arrivava la corrispondenza di __________ anche dopo il trasferimento nel Canton __________). Che __________ possa avere un ruolo importante in seno alla ricorrente, in quanto azionista unico, può essere verosimile: tuttavia lo stesso è assente all’estero, e le uniche entrate sono costituite da “advisory fees” relative a consulenze prestate sull’arco temporale di un anno, come indicano i giustificativi. Egli non può pertanto assicurare il “day to day management” se non per il tramite di __________. Motivo per il quale, analogamente a quanto ritenuto nella sentenza di cui all’inc. 80.2018.275 del 31.5.2019 consid. 2.7., il fatto che __________ possa di fatto essere considerato “un’estensione operativa dell’azionista”, non può che avvalorare il fatto che l’amministrazione effettiva venga per l’appunto svolta in Ticino, a __________. 2.7.4. Come poi aggiunto correttamente dall’UTPG in sede di osservazioni al ricorso appare plausibile che il trasferimento di sede sia legato all’assenza di autorizzazione (non rilasciata dalle autorità) ad esercitare quale fiduciario finanziario in Ticino da parte di __________ (cfr. p. 2 e 3 del reclamo dell’8.2.2018), autorizzazione della quale invece beneficia __________, che è iscritto al relativo albo ( https://www4.ti.ch/di/dg/fiduciari/albo-online/albo-online-dei-fiduciari/ , consultato il 15.2.2021). È infatti risaputo che nel Canton __________ non è necessario di disporre della patente di fiduciario per poter esercitare tale professione (nel Canton __________ non è prevista una regolamentazione per l’esercizio della professione di fiduciario, cfr. https://www.gr.ch/IT/istituzioni/parlament/PV/Seiten/IT_2003-12-09_1047.aspx , sito consultato il 15.2.2021). 2.8. Va poi segnalato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 op. cit., n. 394, p. 131; Heilinger/ Maute , op. cit., p. 757; Jung, op. cit., p. 172). 3. Il ricorso è respinto. La tassa di giustizia e le spese sono poste a carico della ricorrente soccombente. Per questi motivi, visti per le spese gli art. 144 LIFD e 231 LT dichiara e pronuncia</w:t>
      </w:r>
    </w:p>
    <w:p>
      <w:r>
        <w:rPr>
          <w:b/>
        </w:rPr>
        <w:t>E. 4</w:t>
      </w:r>
    </w:p>
    <w:p>
      <w:r>
        <w:t>dicembre 2014, consid. 2.2; n. 2C_483/2016 del 11 novembre 2016, consid. 6.3; sentenza del tribunale amministrativo del canton Zurigo StE 2002 A 24.22 n. 5, consid. 2a e 3; Zweifel/Hunziker , in: Zweifel/Beusch/Mäusli-Allenspach, op. cit., § 8, n. 8, p. 96; Heilinger/ Maute , op. cit., p. 748).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