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80.2020.268 vom 2. Dezember 2020</w:t>
      </w:r>
    </w:p>
    <w:p>
      <w:r>
        <w:t>TI Tribunale d'appello, 2020-12-02, IT</w:t>
      </w:r>
    </w:p>
    <w:p>
      <w:r>
        <w:rPr>
          <w:b/>
        </w:rPr>
        <w:t xml:space="preserve">Quelle: </w:t>
      </w:r>
      <w:r>
        <w:t>https://mcp.opencaselaw.ch/entscheid/ti_gerichte_80.2020.268</w:t>
      </w:r>
    </w:p>
    <w:p>
      <w:r>
        <w:t>FR: TI_GERICHTE 80.2020.268 du 2 décembre 2020</w:t>
      </w:r>
    </w:p>
    <w:p>
      <w:r>
        <w:t>IT: TI_GERICHTE 80.2020.268 del 2 dicembre 2020</w:t>
      </w:r>
    </w:p>
    <w:p>
      <w:pPr>
        <w:pStyle w:val="Heading2"/>
      </w:pPr>
      <w:r>
        <w:t>Regeste</w:t>
      </w:r>
    </w:p>
    <w:p>
      <w:r>
        <w:t>Deduzioni: spese di manutenzione immobili, risanamento di una scarpata per mettere in sicurezza la sponda di un riale, miglioria</w:t>
      </w:r>
    </w:p>
    <w:p>
      <w:pPr>
        <w:pStyle w:val="Heading2"/>
      </w:pPr>
      <w:r>
        <w:t>Erwägungen</w:t>
      </w:r>
    </w:p>
    <w:p>
      <w:r>
        <w:rPr>
          <w:b/>
        </w:rPr>
        <w:t>E. 1.1</w:t>
      </w:r>
    </w:p>
    <w:p>
      <w:r>
        <w:t>Secondo l’art. 9 cpv. 3 della Legge federale del 14 dicembre 1990 sull'armonizzazione delle imposte dirette dei Cantoni e dei Comuni (LAID; RS 642.14), il contribuente che possiede immobili privati può dedurre le spese di manutenzione, le spese di riattazione di immobili di nuova acquisizione, i premi d’assicurazione e le spese d’amministrazione da parte di terzi. I Cantoni possono inoltre prevedere deduzioni per la protezione dell’ambiente, per provvedimenti di risparmio. L’art. 9 cpv. 3 lett. a LAID indica che il Dipartimento federale delle finanze determina in collaborazione con i Cantoni quali investimenti destinati al risparmio energetico e alla protezione dell’ambiente possono essere assimilati alle spese di manutenzione.</w:t>
      </w:r>
    </w:p>
    <w:p>
      <w:r>
        <w:rPr>
          <w:b/>
        </w:rPr>
        <w:t>E. 1.2</w:t>
      </w:r>
    </w:p>
    <w:p>
      <w:r>
        <w:t>Analoga disposizione esiste a livello cantonale, anche se l’art. 31 cpv. 2 LT disciplina espressamente le spese di riattazione di immobili di nuova acquisizione solo dal 1.1.2020. La Divisione delle contribuzioni aveva nondimeno manifestato la volontà di abolire la cosiddetta “prassi Dumont” già a decorrere dal 1° gennaio 2010, come dimostra inequivocabilmente la Circolare n. 7/2010 del mese di aprile 2011. Tale Circolare è stata nel frattempo abrogata e sostituita con la Circolare 7/2020 entrata in vigore il 1.1.2020.</w:t>
      </w:r>
    </w:p>
    <w:p>
      <w:r>
        <w:rPr>
          <w:b/>
        </w:rPr>
        <w:t>E. 2.1</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2.2</w:t>
      </w:r>
    </w:p>
    <w:p>
      <w:r>
        <w:t>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in vigore dal 1.1.2020).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2.3</w:t>
      </w:r>
    </w:p>
    <w:p>
      <w:r>
        <w:t>Per facilitare il lavoro sia dell’amministrazione fiscale sia dei contribuenti, invece della somma effettiva delle spese e dei premi concernenti i beni immobili privati, il contribuente può avvalersi di una deduzione complessiva, stabilita dal Consiglio di Stato per l’imposta cantonale (art.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w:t>
      </w:r>
    </w:p>
    <w:p>
      <w:r>
        <w:rPr>
          <w:b/>
        </w:rPr>
        <w:t>E. 3.1</w:t>
      </w:r>
    </w:p>
    <w:p>
      <w:r>
        <w:t>Nel caso in esame, i ricorrenti chiedono che vengano ammesse in deduzione le spese sostenute per il risanamento della scarpata sulla riva sinistra del riale, che scorre sul confine della loro proprietà (fr. 22'496.50), e per la sostituzione dei pali in legno di castagno nei caracci di granito e pergola (fr. 4’571.85), in quanto lavori di manutenzione. L’UT ha negato la deduzione degli importi in questione, qualificando gli interventi come miglioria.</w:t>
      </w:r>
    </w:p>
    <w:p>
      <w:r>
        <w:rPr>
          <w:b/>
        </w:rPr>
        <w:t>E. 3.2</w:t>
      </w:r>
    </w:p>
    <w:p>
      <w:r>
        <w:t>In una recente sentenza, il Tribunale federale si è confrontato con il ricorso di un contribuente, che chiedeva la deduzione dell’importo di fr. 44'125.– (su un totale di fr. 96'125.–), per la riattazione di una piscina interna, che era stata danneggiata a causa di un difetto di progettazione. L’Alta Corte ne ha negato la deduzione, ricordando che le minusvalenze immobiliari non sono deducibili dal reddito, con la conseguenza che non lo sono neppure i costi sostenuti per compensare tali minusvalenze, poiché non si tratta di spese di manutenzione bensì di ricostruzione (sentenza n. 2C_1003/2017 del 21.6.2018, in RDAF 2018 II p. 478 consid. 5.2). I lavori in questione non erano dunque stati resi necessari dalla normale usura della cosa né dal semplice trascorrere del tempo, con la conseguenza che i relativi costi dovevano essere qualificati come spese di investimento non deducibili (RDAF 2018 II p. 478 consid. 5.3). In una sentenza del 19 aprile 2011 (n. 2C_878/2010), la Suprema Corte aveva negato la deduzione delle spese per la ricostruzione di una pergola, in considerazione del fatto che le stesse si erano rese necessarie in seguito alla sua distruzione, causata da forti precipitazioni nevose. I lavori di ricostruzione equivalevano infatti a una nuova costruzione e dovevano essere pertanto qualificati come spese di investimento non deducibili (consid. 6.1). Lo stesso Tribunale federale ha escluso che costituissero costi di manutenzione deducibili le spese per il risanamento di un giardino, che non erano servite per ripristinare un valore preesistente, bensì per rimuovere gravi ed estesi difetti, sorti poco dopo la creazione del giardino (sentenza 2C_57/2008 dell’11 dicembre 2008 consid. 2.5). La Camera di diritto tributario, con sentenza del 9 febbraio 2021 (n. 80.2020.147) ha poi considerato legittima la decisione dell’autorità di tassazione di negare la deduzione dei costi per la sostituzione del pavimento di una terrazza, in un condominio da poco edificato, usando materiali più resistenti. Ha infatti ritenuto che non si trattasse di spese di manutenzione ma tutt’al più di costi per rimuovere un difetto di costruzione e quindi di costi di investimento non deducibili.</w:t>
      </w:r>
    </w:p>
    <w:p>
      <w:r>
        <w:rPr>
          <w:b/>
        </w:rPr>
        <w:t>E. 3.3.1</w:t>
      </w:r>
    </w:p>
    <w:p>
      <w:r>
        <w:t>Nel caso in esame, per quanto riguarda i lavori di risanamento della scarpata, sulla sponda sinistra del riale che scorre sul confine del fondo dei ricorrenti, sono stati effettuati dei lavori di consolidamento dell’argine tramite lavori di muratura, una nuova palificazione di sostegno, nuove scalette e riempimento con terra dietro la nuova palizzata di sostegno. Dalla fattura n. 27/03.2019 della __________ risultano interventi ben diversi da una riparazione o da un ripristino: asportazione di vegetazione e legname delle scale esistenti, scavo, posa di una nuova palificata con riempimento in terra, nuova palificata di sostegno alla scarpata, formazione di nuove scalette in granito con fondamenta in calcestruzzo armato e ancoraggio alla fondazione muri, posa di terra mancante con spianamento seminato e trapianto pianta, formazione nuovo muro in granito in continuità col muro esistente a confine del riale. A detta dei ricorrenti i lavori di risanamento si sono resi necessari a causa del pericolo di erosione del terreno causato da abbondanti precipitazioni, come si sarebbe verificato in seguito ad un forte temporale, che aveva lasciato un conoide di detriti nel canale. In queste circostanze, si deve ammettere che l’intervento di risanamento, intrapreso dai contribuenti, non sia servito unicamente a mantenere o ripristinare il valore preesistente, ma abbia comportato una miglioria. L’argine del riale non era evidentemente stato messo in sicurezza, in vista di eventuali fenomeni atmosferici estremi. Si potrebbe anche affermare che i lavori finanziati dai ricorrenti abbiano consentito di rimuovere un difetto, che rendeva vulnerabile il confine della loro proprietà. Non è decisivo, per qualificare i lavori svolti come manutenzione o miglioria, stabilire se gli stessi siano serviti solo a “meglio sfruttare i terrazzamenti esistenti e la relativa scala” , come sostenuto dall’autorità di tassazione, o se siano effettivamente stati finalizzati alla soluzione di un difetto esistente. In entrambi i casi, si tratterebbe di costi di investimento e non di mera manutenzione.</w:t>
      </w:r>
    </w:p>
    <w:p>
      <w:r>
        <w:rPr>
          <w:b/>
        </w:rPr>
        <w:t>E. 3.3.2</w:t>
      </w:r>
    </w:p>
    <w:p>
      <w:r>
        <w:t>Dal memoriale prodotto con il ricorso pare poi che la problematica fosse nota anche a livello comunale e cantonale e che addirittura gli interventi intrapresi dagli insorgenti costituiscano “correzioni richieste dalle autorità” . Al citato memoriale non è tuttavia allegato alcun documento, che si riferisca ai ripetuti sopralluoghi con le autorità cantonali e comunali e ad eventuali atti intrapresi da queste ultime. In ogni caso, gli stessi ricorrenti riconoscono di non avere atteso l’esecuzione delle opere progettate dalle autorità, ma di aver proceduto di propria iniziativa e a proprie spese. Nello stesso scritto, si accenna peraltro ad un “nuovo progetto di riabilitazione da parte dell’ingegnere comunale” , che dovrebbe ancora essere eseguito. Il nesso fra l’iniziativa delle autorità e l’intervento intrapreso dai contribuenti non è pertanto del tutto chiaro. Non basta in ogni caso il generico riferimento alle “correzioni richieste dalle autorità” per giustificare una qualifica delle rispettive spese come costi di manutenzione.</w:t>
      </w:r>
    </w:p>
    <w:p>
      <w:r>
        <w:rPr>
          <w:b/>
        </w:rPr>
        <w:t>E. 3.4</w:t>
      </w:r>
    </w:p>
    <w:p>
      <w:r>
        <w:t>Per quanto concerne la sostituzione dei pali in legno di castagno nei caracci in granito, sembrerebbe invece trattarsi di un intervento su una struttura già esistente. Nella fattura 26/03.2019 della __________ SA si parla infatti di asportazione e smaltimento dei pali e di fornitura e posa di nuovi pali di castagno lavorati e tinteggiati. I ricorrenti sostengono che l’intervento si sia reso necessario “per motivi di sicurezza, in quanto le vecchie ringhiere in castagno di entrambi i terrazzi erano marce” . La fattura accenna tuttavia anche a una “pergola”. Né nella decisione impugnata né nelle osservazioni al ricorso, l’Ufficio di tassazione ha preso posizione sulla natura di quest’ultima opera. Nella prima, si è limitato ad argomentare che “dalle foto messe a disposizione, a [suo] parere, risulta chiaro che i lavori svolti non sono serviti a mettere in sicurezza l’immobile” , concludendo che pertanto “nessuna delle due fatture” era deducibile. Nelle osservazioni del 28 dicembre 2020, si è pronunciato solo sull’intervento che “riguarda la costruzione di un nuovo riparo alla scarpata esistente per avere un migliore piano da sfruttare” , senza alcun accenno ai pali in castagno delle terrazze e/o della pergola. D’altra parte, la documentazione fotografica su cui si sarebbe basato il giudizio dell’autorità fiscale non è agli atti. In queste circostanze, nella misura in cui concerne questo secondo intervento, la decisione impugnata è annullata e gli atti sono rinviati all’Ufficio di tassazione per una nuova decisione motivata.</w:t>
      </w:r>
    </w:p>
    <w:p>
      <w:r>
        <w:rPr>
          <w:b/>
        </w:rPr>
        <w:t>E. 4</w:t>
      </w:r>
    </w:p>
    <w:p>
      <w:r>
        <w:t>Visto l’esito del ricorso, la tassa di giustizia e le spese processuali sono a carico dei ricorrenti solo in misura parziale. Per questi motivi, visto per le spese l’art. 231 LT dichiara e pronuncia 1.   1.1.    Nella misura in cui concerne la deduzione delle spese per il risanamento della scarpata sulla sponda sinistra del riale (fattura 27/03.2019), il ricorso è respinto . 1.2.    Nella misura in cui il ricorso concerne la deduzione delle spese per la sostituzione dei pali in castagno (fattura 26/03.2019), la decisione del 2 dicembre 2020 è annullata e gli atti sono rinviati all’Ufficio di tassazione per una nuova decisione motivata. 2.   Le spese processuali consistenti: a. nella tassa di giustizia di                                 fr.    800.– b. nelle spese di cancelleria di complessivi fr.    100.– per un totale di                                                      fr.    900.– sono a carico dei ricorrenti in ragione di 2/3 (fr. 600.–) 3.   Contro il presente giudizio è dato ricorso in materia di diritto pubblico al Tribunale federale in Losanna, entro 30 giorni (art. 73 LAID Copia per conoscenza: - municipio di Ronco .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 municipio di Ronco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