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80.2019.73 vom 7. Januar 2019</w:t>
      </w:r>
    </w:p>
    <w:p>
      <w:r>
        <w:t>TI Tribunale d'appello, 2019-01-07, IT</w:t>
      </w:r>
    </w:p>
    <w:p>
      <w:r>
        <w:rPr>
          <w:b/>
        </w:rPr>
        <w:t xml:space="preserve">Quelle: </w:t>
      </w:r>
      <w:r>
        <w:t>https://mcp.opencaselaw.ch/entscheid/ti_gerichte_80.2019.73</w:t>
      </w:r>
    </w:p>
    <w:p>
      <w:r>
        <w:t>FR: TI_GERICHTE 80.2019.73 du 7 janvier 2019</w:t>
      </w:r>
    </w:p>
    <w:p>
      <w:r>
        <w:t>IT: TI_GERICHTE 80.2019.73 del 7 gennaio 2019</w:t>
      </w:r>
    </w:p>
    <w:p>
      <w:pPr>
        <w:pStyle w:val="Heading2"/>
      </w:pPr>
      <w:r>
        <w:t>Regeste</w:t>
      </w:r>
    </w:p>
    <w:p>
      <w:r>
        <w:t>Revisione: presupposti, fatto nuovo, contestazione della residenza in Svizzera negli ultimi dieci anni, buona fede</w:t>
      </w:r>
    </w:p>
    <w:p>
      <w:pPr>
        <w:pStyle w:val="Heading2"/>
      </w:pPr>
      <w:r>
        <w:t>Erwägungen</w:t>
      </w:r>
    </w:p>
    <w:p>
      <w:r>
        <w:rPr>
          <w:b/>
        </w:rPr>
        <w:t>E. 1</w:t>
      </w:r>
    </w:p>
    <w:p>
      <w:r>
        <w:t>LT); -   la revisione è esclusa se l'istante, ove avesse usato la diligenza che da lui può essere ragionevolmente pretesa, avrebbe potuto far valere già nel corso della procedura ordinaria il motivo di revisione invocato (art. 147 cpv. 2 LIFD; art. 232 cpv. 2 LT); -   come già rilevato nella sentenza del 25 marzo 2019, con cui è stata respinta l’istanza di assistenza giudiziaria, i mezzi di prova addotti dalla ricorrente a supporto della domanda di revisione consistono essenzialmente in un certificato di residenza rilasciato il 17 ottobre 2018 dall’autorità croata e in alcune bollette telefoniche; -   si tratta evidentemente di documenti insufficienti a comprovare il trasferimento del domicilio fiscale in __________, ritenuto che la contribuente è stata domiciliata a __________ senza interruzioni fino al 31.12.2017 e ha regolarmente adempiuto nel Canton Ticino i relativi obblighi fiscali; -   l’insorgente non spiega perché la sua tesi di aver trasferito il domicilio fiscale in Croazia nel 2008 debba costituire un fatto nuovo, tale da giustificare la revisione di decisioni di tassazione passate in giudicato, trattandosi con ogni evidenza di una circostanza che doveva esserle nota; -   va ricordato, in questo contesto, che un contribuente che si trasferisce all’estero deve continuare a pagare l’imposta federale diretta fintantoché non provi di avere costituito un nuovo domicilio all’estero e che, sempre secondo l’Alta Corte, ciò significa che l’esistenza di un nuovo domicilio o di una dimora all’estero (ciò che è equivalente sul piano dell’assoggettamento) sarà ammessa solo nel caso in cui l’interessato paghi delle imposte in quel luogo o ne sia esentato; -   secondo la Suprema Corte, un diverso approccio comporterebbe dei grossi rischi di abuso (DTF 138 II 300 = ASA 81 p. 571 = RF 67/2012 p. 828 = RDAF 2013 II p. 92); -   nella fattispecie, neppure la ricorrente pretende di aver pagato le imposte in __________ a partire dal 2008 né, in verità, successivamente, limitandosi per contro ad affermare che “sarà ben lieta di farsi assoggettare alle imposte __________ una volta che __________ l’avrà liberata per il periodo in questione”; -   d’altra parte, secondo la giurisprudenza del Tribunale federale, un contribuente, che ha preso domicilio ed ha riconosciuto il suo assoggettamento illimitato in Svizzera, non può in seguito contestare tale aspetto nell'ambito di una procedura di recupero d'imposta risp. in una procedura penale fiscale, poiché un simile comportamento risulta contraddittorio e lesivo del principio della buona fede (cfr. la sentenza 2C_395/2011 del 6 dicembre 2011 consid. 5.3 e giurisprudenza e dottrina citate); -   per i periodi fiscali litigiosi, l’insorgente ha sempre partecipato alle procedure di tassazione, presentando le relative dichiarazioni d’imposta e non contestando il proprio assoggettamento, nel momento in cui le venivano notificate le decisioni di tassazione, ragione per cui è esclusa una revisione di queste ultime; -   ne consegue che anche nel merito il ricorso si rivela del tutto destituito di fondamento; -   vista la situazione della ricorrente, si rinuncia eccezionalmente a porre a suo carico tassa di giustizia e spese processuali. Per questi motivi, visti per le spese gli art. 144 LIFD e 231 LT dichiara e pronuncia 1.   Il ricorso è respinto, nella misura in cui è ricevibile . 2.   Non si prelevano né tassa di giustizia né spese processuali.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